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1" w:type="dxa"/>
        <w:tblLook w:val="04A0" w:firstRow="1" w:lastRow="0" w:firstColumn="1" w:lastColumn="0" w:noHBand="0" w:noVBand="1"/>
      </w:tblPr>
      <w:tblGrid>
        <w:gridCol w:w="568"/>
        <w:gridCol w:w="6560"/>
        <w:gridCol w:w="990"/>
        <w:gridCol w:w="810"/>
        <w:gridCol w:w="813"/>
      </w:tblGrid>
      <w:tr w:rsidR="00F97F13" w:rsidRPr="001C5FEC" w:rsidTr="00F97F13">
        <w:trPr>
          <w:trHeight w:val="836"/>
        </w:trPr>
        <w:tc>
          <w:tcPr>
            <w:tcW w:w="7128" w:type="dxa"/>
            <w:gridSpan w:val="2"/>
            <w:tcBorders>
              <w:top w:val="single" w:sz="18" w:space="0" w:color="auto"/>
            </w:tcBorders>
            <w:vAlign w:val="center"/>
          </w:tcPr>
          <w:p w:rsidR="007D52B1" w:rsidRPr="001C5FEC" w:rsidRDefault="007D52B1" w:rsidP="00C56CE4">
            <w:pPr>
              <w:rPr>
                <w:sz w:val="20"/>
                <w:szCs w:val="20"/>
              </w:rPr>
            </w:pPr>
            <w:r w:rsidRPr="001C5FEC">
              <w:rPr>
                <w:rFonts w:ascii="Arial" w:hAnsi="Arial" w:cs="Arial"/>
                <w:sz w:val="20"/>
                <w:szCs w:val="20"/>
              </w:rPr>
              <w:t xml:space="preserve">Indicate which of the following </w:t>
            </w:r>
            <w:r w:rsidR="00C56CE4" w:rsidRPr="001C5FEC">
              <w:rPr>
                <w:rFonts w:ascii="Arial" w:hAnsi="Arial" w:cs="Arial"/>
                <w:sz w:val="20"/>
                <w:szCs w:val="20"/>
              </w:rPr>
              <w:t xml:space="preserve">categories </w:t>
            </w:r>
            <w:r w:rsidRPr="001C5FEC">
              <w:rPr>
                <w:rFonts w:ascii="Arial" w:hAnsi="Arial" w:cs="Arial"/>
                <w:sz w:val="20"/>
                <w:szCs w:val="20"/>
              </w:rPr>
              <w:t>are characteristics of your project and/or fill in the appropriate blanks.</w:t>
            </w:r>
          </w:p>
        </w:tc>
        <w:tc>
          <w:tcPr>
            <w:tcW w:w="990" w:type="dxa"/>
            <w:tcBorders>
              <w:top w:val="single" w:sz="18" w:space="0" w:color="auto"/>
            </w:tcBorders>
            <w:vAlign w:val="center"/>
          </w:tcPr>
          <w:p w:rsidR="007D52B1" w:rsidRPr="001C5FEC" w:rsidRDefault="007D52B1" w:rsidP="007D52B1">
            <w:pPr>
              <w:jc w:val="center"/>
              <w:rPr>
                <w:rFonts w:ascii="Arial" w:hAnsi="Arial"/>
                <w:sz w:val="20"/>
                <w:szCs w:val="20"/>
              </w:rPr>
            </w:pPr>
            <w:r w:rsidRPr="001C5FEC">
              <w:rPr>
                <w:rFonts w:ascii="Arial" w:hAnsi="Arial"/>
                <w:sz w:val="20"/>
                <w:szCs w:val="20"/>
              </w:rPr>
              <w:t>Possible</w:t>
            </w:r>
          </w:p>
          <w:p w:rsidR="007D52B1" w:rsidRPr="001C5FEC" w:rsidRDefault="007D52B1" w:rsidP="007D52B1">
            <w:pPr>
              <w:jc w:val="center"/>
              <w:rPr>
                <w:sz w:val="20"/>
                <w:szCs w:val="20"/>
              </w:rPr>
            </w:pPr>
            <w:r w:rsidRPr="001C5FEC">
              <w:rPr>
                <w:rFonts w:ascii="Arial" w:hAnsi="Arial"/>
                <w:sz w:val="20"/>
                <w:szCs w:val="20"/>
              </w:rPr>
              <w:t>Points</w:t>
            </w:r>
          </w:p>
        </w:tc>
        <w:tc>
          <w:tcPr>
            <w:tcW w:w="810" w:type="dxa"/>
            <w:tcBorders>
              <w:top w:val="single" w:sz="18" w:space="0" w:color="auto"/>
            </w:tcBorders>
            <w:vAlign w:val="center"/>
          </w:tcPr>
          <w:p w:rsidR="007D52B1" w:rsidRPr="001C5FEC" w:rsidRDefault="007D52B1" w:rsidP="007D52B1">
            <w:pPr>
              <w:jc w:val="center"/>
              <w:rPr>
                <w:rFonts w:ascii="Arial" w:hAnsi="Arial"/>
                <w:sz w:val="20"/>
                <w:szCs w:val="20"/>
              </w:rPr>
            </w:pPr>
            <w:r w:rsidRPr="001C5FEC">
              <w:rPr>
                <w:rFonts w:ascii="Arial" w:hAnsi="Arial"/>
                <w:sz w:val="20"/>
                <w:szCs w:val="20"/>
              </w:rPr>
              <w:t>Self</w:t>
            </w:r>
          </w:p>
          <w:p w:rsidR="007D52B1" w:rsidRPr="001C5FEC" w:rsidRDefault="007D52B1" w:rsidP="007D52B1">
            <w:pPr>
              <w:jc w:val="center"/>
              <w:rPr>
                <w:sz w:val="20"/>
                <w:szCs w:val="20"/>
              </w:rPr>
            </w:pPr>
            <w:r w:rsidRPr="001C5FEC">
              <w:rPr>
                <w:rFonts w:ascii="Arial" w:hAnsi="Arial"/>
                <w:sz w:val="20"/>
                <w:szCs w:val="20"/>
              </w:rPr>
              <w:t>Score</w:t>
            </w:r>
          </w:p>
        </w:tc>
        <w:tc>
          <w:tcPr>
            <w:tcW w:w="813" w:type="dxa"/>
            <w:tcBorders>
              <w:top w:val="single" w:sz="18" w:space="0" w:color="auto"/>
            </w:tcBorders>
            <w:vAlign w:val="center"/>
          </w:tcPr>
          <w:p w:rsidR="007D52B1" w:rsidRPr="001C5FEC" w:rsidRDefault="007D52B1" w:rsidP="007D52B1">
            <w:pPr>
              <w:jc w:val="center"/>
              <w:rPr>
                <w:rFonts w:ascii="Arial" w:hAnsi="Arial"/>
                <w:sz w:val="20"/>
                <w:szCs w:val="20"/>
              </w:rPr>
            </w:pPr>
            <w:r w:rsidRPr="001C5FEC">
              <w:rPr>
                <w:rFonts w:ascii="Arial" w:hAnsi="Arial"/>
                <w:sz w:val="20"/>
                <w:szCs w:val="20"/>
              </w:rPr>
              <w:t>MFA</w:t>
            </w:r>
          </w:p>
          <w:p w:rsidR="007D52B1" w:rsidRPr="001C5FEC" w:rsidRDefault="007D52B1" w:rsidP="007D52B1">
            <w:pPr>
              <w:jc w:val="center"/>
              <w:rPr>
                <w:sz w:val="20"/>
                <w:szCs w:val="20"/>
              </w:rPr>
            </w:pPr>
            <w:r w:rsidRPr="001C5FEC">
              <w:rPr>
                <w:rFonts w:ascii="Arial" w:hAnsi="Arial"/>
                <w:sz w:val="20"/>
                <w:szCs w:val="20"/>
              </w:rPr>
              <w:t>Score</w:t>
            </w:r>
          </w:p>
        </w:tc>
      </w:tr>
      <w:tr w:rsidR="00F97F13" w:rsidRPr="001C5FEC" w:rsidTr="00F97F13">
        <w:trPr>
          <w:trHeight w:val="776"/>
        </w:trPr>
        <w:tc>
          <w:tcPr>
            <w:tcW w:w="568" w:type="dxa"/>
            <w:vAlign w:val="center"/>
          </w:tcPr>
          <w:p w:rsidR="007D52B1" w:rsidRPr="001C5FEC" w:rsidRDefault="007D52B1" w:rsidP="00C56CE4">
            <w:pPr>
              <w:rPr>
                <w:sz w:val="20"/>
                <w:szCs w:val="20"/>
              </w:rPr>
            </w:pPr>
            <w:r w:rsidRPr="001C5FEC">
              <w:rPr>
                <w:sz w:val="20"/>
                <w:szCs w:val="20"/>
              </w:rPr>
              <w:t>1.</w:t>
            </w:r>
          </w:p>
        </w:tc>
        <w:tc>
          <w:tcPr>
            <w:tcW w:w="6560" w:type="dxa"/>
          </w:tcPr>
          <w:p w:rsidR="007D52B1" w:rsidRPr="001C5FEC" w:rsidRDefault="007D52B1" w:rsidP="00F97F13">
            <w:pPr>
              <w:pStyle w:val="ListParagraph"/>
              <w:spacing w:before="240"/>
              <w:ind w:left="0"/>
              <w:rPr>
                <w:rFonts w:ascii="Arial" w:hAnsi="Arial" w:cs="Arial"/>
                <w:sz w:val="20"/>
                <w:szCs w:val="20"/>
              </w:rPr>
            </w:pPr>
            <w:r w:rsidRPr="001C5FEC">
              <w:rPr>
                <w:rFonts w:ascii="Arial" w:hAnsi="Arial" w:cs="Arial"/>
                <w:sz w:val="20"/>
                <w:szCs w:val="20"/>
              </w:rPr>
              <w:t xml:space="preserve">Geographic diversity </w:t>
            </w:r>
          </w:p>
          <w:p w:rsidR="00B458AC" w:rsidRPr="001C5FEC" w:rsidRDefault="00B458AC" w:rsidP="00B458AC">
            <w:pPr>
              <w:rPr>
                <w:i/>
                <w:sz w:val="20"/>
                <w:szCs w:val="20"/>
              </w:rPr>
            </w:pPr>
            <w:r w:rsidRPr="001C5FEC">
              <w:rPr>
                <w:i/>
                <w:sz w:val="20"/>
                <w:szCs w:val="20"/>
              </w:rPr>
              <w:t>No other Low Income Housing Tax Credit, public housing, or federally-subsidized housing projects within:</w:t>
            </w:r>
          </w:p>
          <w:p w:rsidR="00F519BD" w:rsidRPr="001C5FEC" w:rsidRDefault="00F519BD" w:rsidP="00C56CE4">
            <w:pPr>
              <w:pStyle w:val="ListParagraph"/>
              <w:ind w:left="0"/>
              <w:rPr>
                <w:rFonts w:ascii="Arial" w:hAnsi="Arial" w:cs="Arial"/>
                <w:sz w:val="20"/>
                <w:szCs w:val="20"/>
              </w:rPr>
            </w:pPr>
          </w:p>
          <w:p w:rsidR="007D52B1" w:rsidRPr="001C5FEC" w:rsidRDefault="007D52B1" w:rsidP="00C56CE4">
            <w:pPr>
              <w:tabs>
                <w:tab w:val="right" w:pos="2970"/>
              </w:tabs>
              <w:ind w:left="810" w:hanging="810"/>
              <w:rPr>
                <w:rFonts w:ascii="Arial" w:hAnsi="Arial" w:cs="Arial"/>
                <w:sz w:val="20"/>
                <w:szCs w:val="20"/>
              </w:rPr>
            </w:pPr>
            <w:r w:rsidRPr="001C5FEC">
              <w:rPr>
                <w:rFonts w:ascii="Arial" w:hAnsi="Arial" w:cs="Arial"/>
                <w:sz w:val="20"/>
                <w:szCs w:val="20"/>
              </w:rPr>
              <w:t xml:space="preserve">¼ mile radius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3 pts,  </w:t>
            </w:r>
          </w:p>
          <w:p w:rsidR="007D52B1" w:rsidRPr="001C5FEC" w:rsidRDefault="007D52B1" w:rsidP="00B458AC">
            <w:pPr>
              <w:rPr>
                <w:rFonts w:ascii="Arial" w:hAnsi="Arial" w:cs="Arial"/>
                <w:sz w:val="20"/>
                <w:szCs w:val="20"/>
              </w:rPr>
            </w:pPr>
            <w:r w:rsidRPr="001C5FEC">
              <w:rPr>
                <w:rFonts w:ascii="Arial" w:hAnsi="Arial" w:cs="Arial"/>
                <w:sz w:val="20"/>
                <w:szCs w:val="20"/>
              </w:rPr>
              <w:t xml:space="preserve">½ mile radius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5 pts</w:t>
            </w:r>
          </w:p>
          <w:p w:rsidR="00B458AC" w:rsidRPr="001C5FEC" w:rsidRDefault="00B458AC" w:rsidP="00B458AC">
            <w:pPr>
              <w:rPr>
                <w:rFonts w:ascii="Arial" w:hAnsi="Arial" w:cs="Arial"/>
                <w:sz w:val="20"/>
                <w:szCs w:val="20"/>
              </w:rPr>
            </w:pPr>
            <w:bookmarkStart w:id="0" w:name="_GoBack"/>
            <w:bookmarkEnd w:id="0"/>
          </w:p>
        </w:tc>
        <w:tc>
          <w:tcPr>
            <w:tcW w:w="990" w:type="dxa"/>
            <w:vAlign w:val="center"/>
          </w:tcPr>
          <w:p w:rsidR="007D52B1" w:rsidRPr="001C5FEC" w:rsidRDefault="007D52B1" w:rsidP="00C56CE4">
            <w:pPr>
              <w:jc w:val="center"/>
              <w:rPr>
                <w:sz w:val="20"/>
                <w:szCs w:val="20"/>
              </w:rPr>
            </w:pPr>
            <w:r w:rsidRPr="001C5FEC">
              <w:rPr>
                <w:sz w:val="20"/>
                <w:szCs w:val="20"/>
              </w:rPr>
              <w:t>3 or 5</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530"/>
        </w:trPr>
        <w:tc>
          <w:tcPr>
            <w:tcW w:w="568" w:type="dxa"/>
            <w:vAlign w:val="center"/>
          </w:tcPr>
          <w:p w:rsidR="007D52B1" w:rsidRPr="001C5FEC" w:rsidRDefault="007D52B1" w:rsidP="00C56CE4">
            <w:pPr>
              <w:rPr>
                <w:sz w:val="20"/>
                <w:szCs w:val="20"/>
              </w:rPr>
            </w:pPr>
            <w:r w:rsidRPr="001C5FEC">
              <w:rPr>
                <w:sz w:val="20"/>
                <w:szCs w:val="20"/>
              </w:rPr>
              <w:t>2.</w:t>
            </w:r>
          </w:p>
        </w:tc>
        <w:tc>
          <w:tcPr>
            <w:tcW w:w="6560" w:type="dxa"/>
          </w:tcPr>
          <w:p w:rsidR="007D52B1" w:rsidRPr="001C5FEC" w:rsidRDefault="007D52B1" w:rsidP="003121E0">
            <w:pPr>
              <w:pStyle w:val="ListParagraph"/>
              <w:spacing w:before="240"/>
              <w:ind w:left="0"/>
              <w:rPr>
                <w:rFonts w:ascii="Arial" w:hAnsi="Arial" w:cs="Arial"/>
                <w:sz w:val="20"/>
                <w:szCs w:val="20"/>
              </w:rPr>
            </w:pPr>
            <w:r w:rsidRPr="001C5FEC">
              <w:rPr>
                <w:rFonts w:ascii="Arial" w:hAnsi="Arial" w:cs="Arial"/>
                <w:sz w:val="20"/>
                <w:szCs w:val="20"/>
              </w:rPr>
              <w:t>Duration of the affordability period beyond the required 30 years</w:t>
            </w:r>
          </w:p>
          <w:p w:rsidR="00B458AC" w:rsidRPr="001C5FEC" w:rsidRDefault="00B458AC" w:rsidP="00B458AC">
            <w:pPr>
              <w:pStyle w:val="ListParagraph"/>
              <w:spacing w:before="240" w:after="200"/>
              <w:ind w:left="0"/>
              <w:rPr>
                <w:rFonts w:ascii="Arial" w:hAnsi="Arial" w:cs="Arial"/>
                <w:sz w:val="20"/>
                <w:szCs w:val="20"/>
              </w:rPr>
            </w:pPr>
            <w:r w:rsidRPr="001C5FEC">
              <w:rPr>
                <w:i/>
                <w:sz w:val="20"/>
                <w:szCs w:val="20"/>
              </w:rPr>
              <w:t>Projects committed to an additional five or more years</w:t>
            </w:r>
          </w:p>
        </w:tc>
        <w:tc>
          <w:tcPr>
            <w:tcW w:w="990" w:type="dxa"/>
            <w:vAlign w:val="center"/>
          </w:tcPr>
          <w:p w:rsidR="007D52B1" w:rsidRPr="001C5FEC" w:rsidRDefault="007D52B1" w:rsidP="00C56CE4">
            <w:pPr>
              <w:jc w:val="center"/>
              <w:rPr>
                <w:sz w:val="20"/>
                <w:szCs w:val="20"/>
              </w:rPr>
            </w:pPr>
            <w:r w:rsidRPr="001C5FEC">
              <w:rPr>
                <w:sz w:val="20"/>
                <w:szCs w:val="20"/>
              </w:rPr>
              <w:t>5</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503"/>
        </w:trPr>
        <w:tc>
          <w:tcPr>
            <w:tcW w:w="568" w:type="dxa"/>
            <w:vAlign w:val="center"/>
          </w:tcPr>
          <w:p w:rsidR="007D52B1" w:rsidRPr="001C5FEC" w:rsidRDefault="007D52B1" w:rsidP="00C56CE4">
            <w:pPr>
              <w:rPr>
                <w:sz w:val="20"/>
                <w:szCs w:val="20"/>
              </w:rPr>
            </w:pPr>
            <w:r w:rsidRPr="001C5FEC">
              <w:rPr>
                <w:sz w:val="20"/>
                <w:szCs w:val="20"/>
              </w:rPr>
              <w:t>3.</w:t>
            </w:r>
          </w:p>
        </w:tc>
        <w:tc>
          <w:tcPr>
            <w:tcW w:w="6560" w:type="dxa"/>
          </w:tcPr>
          <w:p w:rsidR="007D52B1" w:rsidRPr="001C5FEC" w:rsidRDefault="00C61980" w:rsidP="003121E0">
            <w:pPr>
              <w:pStyle w:val="ListParagraph"/>
              <w:spacing w:before="240"/>
              <w:ind w:left="0"/>
              <w:rPr>
                <w:rFonts w:ascii="Arial" w:hAnsi="Arial" w:cs="Arial"/>
                <w:sz w:val="20"/>
                <w:szCs w:val="20"/>
              </w:rPr>
            </w:pPr>
            <w:r w:rsidRPr="001C5FEC">
              <w:rPr>
                <w:rFonts w:ascii="Arial" w:hAnsi="Arial" w:cs="Arial"/>
                <w:sz w:val="20"/>
                <w:szCs w:val="20"/>
              </w:rPr>
              <w:t>En</w:t>
            </w:r>
            <w:r w:rsidR="007D52B1" w:rsidRPr="001C5FEC">
              <w:rPr>
                <w:rFonts w:ascii="Arial" w:hAnsi="Arial" w:cs="Arial"/>
                <w:sz w:val="20"/>
                <w:szCs w:val="20"/>
              </w:rPr>
              <w:t>ergy efficiency</w:t>
            </w:r>
          </w:p>
          <w:p w:rsidR="00B458AC" w:rsidRPr="001C5FEC" w:rsidRDefault="00B458AC" w:rsidP="00B458AC">
            <w:pPr>
              <w:pStyle w:val="ListParagraph"/>
              <w:spacing w:before="240" w:after="200"/>
              <w:ind w:left="0"/>
              <w:rPr>
                <w:rFonts w:ascii="Arial" w:hAnsi="Arial" w:cs="Arial"/>
                <w:sz w:val="20"/>
                <w:szCs w:val="20"/>
              </w:rPr>
            </w:pPr>
            <w:r w:rsidRPr="001C5FEC">
              <w:rPr>
                <w:i/>
                <w:sz w:val="20"/>
                <w:szCs w:val="20"/>
              </w:rPr>
              <w:t>Projects achieving a HERS rating lower than 75 for rehabilitation projects and 65 for new construction projects</w:t>
            </w:r>
          </w:p>
        </w:tc>
        <w:tc>
          <w:tcPr>
            <w:tcW w:w="990" w:type="dxa"/>
            <w:vAlign w:val="center"/>
          </w:tcPr>
          <w:p w:rsidR="007D52B1" w:rsidRPr="001C5FEC" w:rsidRDefault="007D52B1" w:rsidP="00C56CE4">
            <w:pPr>
              <w:jc w:val="center"/>
              <w:rPr>
                <w:sz w:val="20"/>
                <w:szCs w:val="20"/>
              </w:rPr>
            </w:pPr>
            <w:r w:rsidRPr="001C5FEC">
              <w:rPr>
                <w:sz w:val="20"/>
                <w:szCs w:val="20"/>
              </w:rPr>
              <w:t>5</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485"/>
        </w:trPr>
        <w:tc>
          <w:tcPr>
            <w:tcW w:w="568" w:type="dxa"/>
            <w:vAlign w:val="center"/>
          </w:tcPr>
          <w:p w:rsidR="007D52B1" w:rsidRPr="001C5FEC" w:rsidRDefault="007D52B1" w:rsidP="00C56CE4">
            <w:pPr>
              <w:rPr>
                <w:sz w:val="20"/>
                <w:szCs w:val="20"/>
              </w:rPr>
            </w:pPr>
            <w:r w:rsidRPr="001C5FEC">
              <w:rPr>
                <w:sz w:val="20"/>
                <w:szCs w:val="20"/>
              </w:rPr>
              <w:t>4.</w:t>
            </w:r>
          </w:p>
        </w:tc>
        <w:tc>
          <w:tcPr>
            <w:tcW w:w="6560" w:type="dxa"/>
          </w:tcPr>
          <w:p w:rsidR="003121E0" w:rsidRPr="001C5FEC" w:rsidRDefault="007D52B1" w:rsidP="003121E0">
            <w:pPr>
              <w:spacing w:before="240"/>
              <w:rPr>
                <w:rFonts w:ascii="Arial" w:hAnsi="Arial" w:cs="Arial"/>
                <w:sz w:val="20"/>
                <w:szCs w:val="20"/>
              </w:rPr>
            </w:pPr>
            <w:r w:rsidRPr="001C5FEC">
              <w:rPr>
                <w:rFonts w:ascii="Arial" w:hAnsi="Arial" w:cs="Arial"/>
                <w:sz w:val="20"/>
                <w:szCs w:val="20"/>
              </w:rPr>
              <w:t>Organization type</w:t>
            </w:r>
          </w:p>
          <w:p w:rsidR="00B458AC" w:rsidRPr="001C5FEC" w:rsidRDefault="00B458AC" w:rsidP="00B458AC">
            <w:pPr>
              <w:rPr>
                <w:i/>
                <w:sz w:val="20"/>
                <w:szCs w:val="20"/>
              </w:rPr>
            </w:pPr>
            <w:r w:rsidRPr="001C5FEC">
              <w:rPr>
                <w:i/>
                <w:sz w:val="20"/>
                <w:szCs w:val="20"/>
              </w:rPr>
              <w:t>Developer/general partner is a New Mexico nonprofit organization, a Tribal Designated Housing Entity (TDHE), or a public housing authority</w:t>
            </w:r>
          </w:p>
          <w:p w:rsidR="00B458AC" w:rsidRPr="001C5FEC" w:rsidRDefault="00B458AC" w:rsidP="00B458AC">
            <w:pPr>
              <w:rPr>
                <w:rFonts w:ascii="Arial" w:hAnsi="Arial" w:cs="Arial"/>
                <w:sz w:val="20"/>
                <w:szCs w:val="20"/>
              </w:rPr>
            </w:pPr>
          </w:p>
        </w:tc>
        <w:tc>
          <w:tcPr>
            <w:tcW w:w="990" w:type="dxa"/>
            <w:vAlign w:val="center"/>
          </w:tcPr>
          <w:p w:rsidR="007D52B1" w:rsidRPr="001C5FEC" w:rsidRDefault="007D52B1" w:rsidP="00C56CE4">
            <w:pPr>
              <w:jc w:val="center"/>
              <w:rPr>
                <w:sz w:val="20"/>
                <w:szCs w:val="20"/>
              </w:rPr>
            </w:pPr>
            <w:r w:rsidRPr="001C5FEC">
              <w:rPr>
                <w:sz w:val="20"/>
                <w:szCs w:val="20"/>
              </w:rPr>
              <w:t>5</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530"/>
        </w:trPr>
        <w:tc>
          <w:tcPr>
            <w:tcW w:w="568" w:type="dxa"/>
            <w:vAlign w:val="center"/>
          </w:tcPr>
          <w:p w:rsidR="007D52B1" w:rsidRPr="001C5FEC" w:rsidRDefault="007D52B1" w:rsidP="00C56CE4">
            <w:pPr>
              <w:rPr>
                <w:sz w:val="20"/>
                <w:szCs w:val="20"/>
              </w:rPr>
            </w:pPr>
            <w:r w:rsidRPr="001C5FEC">
              <w:rPr>
                <w:sz w:val="20"/>
                <w:szCs w:val="20"/>
              </w:rPr>
              <w:t>5.</w:t>
            </w:r>
          </w:p>
        </w:tc>
        <w:tc>
          <w:tcPr>
            <w:tcW w:w="6560" w:type="dxa"/>
          </w:tcPr>
          <w:p w:rsidR="007D52B1" w:rsidRPr="001C5FEC" w:rsidRDefault="007D52B1" w:rsidP="00E64072">
            <w:pPr>
              <w:spacing w:before="240"/>
              <w:rPr>
                <w:rFonts w:ascii="Arial" w:hAnsi="Arial" w:cs="Arial"/>
                <w:sz w:val="20"/>
                <w:szCs w:val="20"/>
              </w:rPr>
            </w:pPr>
            <w:r w:rsidRPr="001C5FEC">
              <w:rPr>
                <w:rFonts w:ascii="Arial" w:hAnsi="Arial" w:cs="Arial"/>
                <w:sz w:val="20"/>
                <w:szCs w:val="20"/>
              </w:rPr>
              <w:t>Absence of project-based rental assistance</w:t>
            </w:r>
          </w:p>
          <w:p w:rsidR="00B458AC" w:rsidRPr="001C5FEC" w:rsidRDefault="00B458AC" w:rsidP="00B458AC">
            <w:pPr>
              <w:rPr>
                <w:i/>
                <w:sz w:val="20"/>
                <w:szCs w:val="20"/>
              </w:rPr>
            </w:pPr>
            <w:r w:rsidRPr="001C5FEC">
              <w:rPr>
                <w:i/>
                <w:sz w:val="20"/>
                <w:szCs w:val="20"/>
              </w:rPr>
              <w:t>Projects without project-based rental assistance or projects that have or will have project-based rental assistance covering less than or equal to 25% of the total units</w:t>
            </w:r>
          </w:p>
          <w:p w:rsidR="00B458AC" w:rsidRPr="001C5FEC" w:rsidRDefault="00B458AC" w:rsidP="00B458AC">
            <w:pPr>
              <w:rPr>
                <w:rFonts w:ascii="Arial" w:hAnsi="Arial" w:cs="Arial"/>
                <w:sz w:val="20"/>
                <w:szCs w:val="20"/>
              </w:rPr>
            </w:pPr>
          </w:p>
        </w:tc>
        <w:tc>
          <w:tcPr>
            <w:tcW w:w="990" w:type="dxa"/>
            <w:vAlign w:val="center"/>
          </w:tcPr>
          <w:p w:rsidR="007D52B1" w:rsidRPr="001C5FEC" w:rsidRDefault="007D52B1" w:rsidP="00C56CE4">
            <w:pPr>
              <w:jc w:val="center"/>
              <w:rPr>
                <w:sz w:val="20"/>
                <w:szCs w:val="20"/>
              </w:rPr>
            </w:pPr>
            <w:r w:rsidRPr="001C5FEC">
              <w:rPr>
                <w:sz w:val="20"/>
                <w:szCs w:val="20"/>
              </w:rPr>
              <w:t>5</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530"/>
        </w:trPr>
        <w:tc>
          <w:tcPr>
            <w:tcW w:w="568" w:type="dxa"/>
            <w:vAlign w:val="center"/>
          </w:tcPr>
          <w:p w:rsidR="007D52B1" w:rsidRPr="001C5FEC" w:rsidRDefault="007D52B1" w:rsidP="00C56CE4">
            <w:pPr>
              <w:rPr>
                <w:sz w:val="20"/>
                <w:szCs w:val="20"/>
              </w:rPr>
            </w:pPr>
            <w:r w:rsidRPr="001C5FEC">
              <w:rPr>
                <w:sz w:val="20"/>
                <w:szCs w:val="20"/>
              </w:rPr>
              <w:t>6.</w:t>
            </w:r>
          </w:p>
        </w:tc>
        <w:tc>
          <w:tcPr>
            <w:tcW w:w="6560" w:type="dxa"/>
          </w:tcPr>
          <w:p w:rsidR="007D52B1" w:rsidRPr="001C5FEC" w:rsidRDefault="007D52B1" w:rsidP="00E64072">
            <w:pPr>
              <w:pStyle w:val="ListParagraph"/>
              <w:spacing w:before="240"/>
              <w:ind w:left="0"/>
              <w:rPr>
                <w:rFonts w:ascii="Arial" w:hAnsi="Arial" w:cs="Arial"/>
                <w:sz w:val="20"/>
                <w:szCs w:val="20"/>
              </w:rPr>
            </w:pPr>
            <w:r w:rsidRPr="001C5FEC">
              <w:rPr>
                <w:rFonts w:ascii="Arial" w:hAnsi="Arial" w:cs="Arial"/>
                <w:sz w:val="20"/>
                <w:szCs w:val="20"/>
              </w:rPr>
              <w:t>Transit-oriented development</w:t>
            </w:r>
          </w:p>
          <w:p w:rsidR="00B458AC" w:rsidRPr="001C5FEC" w:rsidRDefault="00B458AC" w:rsidP="00B458AC">
            <w:pPr>
              <w:pStyle w:val="ListParagraph"/>
              <w:ind w:left="0"/>
              <w:rPr>
                <w:i/>
                <w:sz w:val="20"/>
                <w:szCs w:val="20"/>
              </w:rPr>
            </w:pPr>
            <w:r w:rsidRPr="001C5FEC">
              <w:rPr>
                <w:i/>
                <w:sz w:val="20"/>
                <w:szCs w:val="20"/>
              </w:rPr>
              <w:t xml:space="preserve">Projects within 1/2-mile radius of public transportation </w:t>
            </w:r>
          </w:p>
          <w:p w:rsidR="00B458AC" w:rsidRPr="001C5FEC" w:rsidRDefault="00B458AC" w:rsidP="00B458AC">
            <w:pPr>
              <w:pStyle w:val="ListParagraph"/>
              <w:spacing w:before="240" w:after="200"/>
              <w:ind w:left="0"/>
              <w:rPr>
                <w:rFonts w:ascii="Arial" w:hAnsi="Arial" w:cs="Arial"/>
                <w:sz w:val="20"/>
                <w:szCs w:val="20"/>
              </w:rPr>
            </w:pPr>
            <w:r w:rsidRPr="001C5FEC">
              <w:rPr>
                <w:i/>
                <w:sz w:val="20"/>
                <w:szCs w:val="20"/>
              </w:rPr>
              <w:t>Public transportation must be established and provided on a fixed route with scheduled service. Alternative forms of transportation may be acceptable, provided sufficient documentation is submitted that establishes the alternative form of transportation is acceptable to MFA. A future promise to provide service does not satisfy this scoring criterion.</w:t>
            </w:r>
          </w:p>
        </w:tc>
        <w:tc>
          <w:tcPr>
            <w:tcW w:w="990" w:type="dxa"/>
            <w:vAlign w:val="center"/>
          </w:tcPr>
          <w:p w:rsidR="007D52B1" w:rsidRPr="001C5FEC" w:rsidRDefault="007D52B1" w:rsidP="00C56CE4">
            <w:pPr>
              <w:jc w:val="center"/>
              <w:rPr>
                <w:sz w:val="20"/>
                <w:szCs w:val="20"/>
              </w:rPr>
            </w:pPr>
            <w:r w:rsidRPr="001C5FEC">
              <w:rPr>
                <w:sz w:val="20"/>
                <w:szCs w:val="20"/>
              </w:rPr>
              <w:t>10</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530"/>
        </w:trPr>
        <w:tc>
          <w:tcPr>
            <w:tcW w:w="568" w:type="dxa"/>
            <w:vAlign w:val="center"/>
          </w:tcPr>
          <w:p w:rsidR="007D52B1" w:rsidRPr="001C5FEC" w:rsidRDefault="007D52B1" w:rsidP="00C56CE4">
            <w:pPr>
              <w:rPr>
                <w:sz w:val="20"/>
                <w:szCs w:val="20"/>
              </w:rPr>
            </w:pPr>
            <w:r w:rsidRPr="001C5FEC">
              <w:rPr>
                <w:sz w:val="20"/>
                <w:szCs w:val="20"/>
              </w:rPr>
              <w:t>7.</w:t>
            </w:r>
          </w:p>
        </w:tc>
        <w:tc>
          <w:tcPr>
            <w:tcW w:w="6560" w:type="dxa"/>
          </w:tcPr>
          <w:p w:rsidR="00F519BD" w:rsidRPr="001C5FEC" w:rsidRDefault="007D52B1" w:rsidP="00E64072">
            <w:pPr>
              <w:spacing w:before="240"/>
              <w:rPr>
                <w:rFonts w:ascii="Arial" w:hAnsi="Arial" w:cs="Arial"/>
                <w:sz w:val="20"/>
                <w:szCs w:val="20"/>
              </w:rPr>
            </w:pPr>
            <w:r w:rsidRPr="001C5FEC">
              <w:rPr>
                <w:rFonts w:ascii="Arial" w:hAnsi="Arial" w:cs="Arial"/>
                <w:sz w:val="20"/>
                <w:szCs w:val="20"/>
              </w:rPr>
              <w:t xml:space="preserve">Rural location </w:t>
            </w:r>
          </w:p>
          <w:p w:rsidR="00B458AC" w:rsidRPr="001C5FEC" w:rsidRDefault="00B458AC" w:rsidP="00B458AC">
            <w:pPr>
              <w:rPr>
                <w:i/>
                <w:sz w:val="20"/>
                <w:szCs w:val="20"/>
              </w:rPr>
            </w:pPr>
            <w:r w:rsidRPr="001C5FEC">
              <w:rPr>
                <w:i/>
                <w:sz w:val="20"/>
                <w:szCs w:val="20"/>
              </w:rPr>
              <w:t>Projects located in cities with populations of 50,000 or less (per latest U.S. Census)</w:t>
            </w:r>
          </w:p>
          <w:p w:rsidR="00B458AC" w:rsidRPr="001C5FEC" w:rsidRDefault="00B458AC" w:rsidP="00B458AC">
            <w:pPr>
              <w:rPr>
                <w:rFonts w:ascii="Arial" w:hAnsi="Arial" w:cs="Arial"/>
                <w:sz w:val="20"/>
                <w:szCs w:val="20"/>
              </w:rPr>
            </w:pPr>
          </w:p>
        </w:tc>
        <w:tc>
          <w:tcPr>
            <w:tcW w:w="990" w:type="dxa"/>
            <w:vAlign w:val="center"/>
          </w:tcPr>
          <w:p w:rsidR="007D52B1" w:rsidRPr="001C5FEC" w:rsidRDefault="007D52B1" w:rsidP="00C56CE4">
            <w:pPr>
              <w:jc w:val="center"/>
              <w:rPr>
                <w:sz w:val="20"/>
                <w:szCs w:val="20"/>
              </w:rPr>
            </w:pPr>
            <w:r w:rsidRPr="001C5FEC">
              <w:rPr>
                <w:sz w:val="20"/>
                <w:szCs w:val="20"/>
              </w:rPr>
              <w:t>10</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819"/>
        </w:trPr>
        <w:tc>
          <w:tcPr>
            <w:tcW w:w="568" w:type="dxa"/>
            <w:vAlign w:val="center"/>
          </w:tcPr>
          <w:p w:rsidR="007D52B1" w:rsidRPr="001C5FEC" w:rsidRDefault="007D52B1" w:rsidP="00C56CE4">
            <w:pPr>
              <w:rPr>
                <w:sz w:val="20"/>
                <w:szCs w:val="20"/>
              </w:rPr>
            </w:pPr>
            <w:r w:rsidRPr="001C5FEC">
              <w:rPr>
                <w:sz w:val="20"/>
                <w:szCs w:val="20"/>
              </w:rPr>
              <w:lastRenderedPageBreak/>
              <w:t>8.</w:t>
            </w:r>
          </w:p>
        </w:tc>
        <w:tc>
          <w:tcPr>
            <w:tcW w:w="6560" w:type="dxa"/>
          </w:tcPr>
          <w:p w:rsidR="00CC7034" w:rsidRPr="001C5FEC" w:rsidRDefault="007D52B1" w:rsidP="00E64072">
            <w:pPr>
              <w:pStyle w:val="ListParagraph"/>
              <w:spacing w:before="240"/>
              <w:ind w:left="0"/>
              <w:rPr>
                <w:rFonts w:ascii="Arial" w:hAnsi="Arial" w:cs="Arial"/>
                <w:sz w:val="20"/>
                <w:szCs w:val="20"/>
              </w:rPr>
            </w:pPr>
            <w:r w:rsidRPr="001C5FEC">
              <w:rPr>
                <w:rFonts w:ascii="Arial" w:hAnsi="Arial" w:cs="Arial"/>
                <w:sz w:val="20"/>
                <w:szCs w:val="20"/>
              </w:rPr>
              <w:t>Creation of new units serving ELI households, through new construction, adaptive reuse or conversion of market-rate units</w:t>
            </w:r>
          </w:p>
          <w:p w:rsidR="007D52B1" w:rsidRPr="001C5FEC" w:rsidRDefault="005B37E9" w:rsidP="005B37E9">
            <w:pPr>
              <w:rPr>
                <w:rFonts w:ascii="Arial" w:hAnsi="Arial" w:cs="Arial"/>
                <w:i/>
                <w:sz w:val="20"/>
                <w:szCs w:val="20"/>
              </w:rPr>
            </w:pPr>
            <w:r w:rsidRPr="001C5FEC">
              <w:rPr>
                <w:rFonts w:ascii="Arial" w:hAnsi="Arial" w:cs="Arial"/>
                <w:i/>
                <w:sz w:val="20"/>
                <w:szCs w:val="20"/>
              </w:rPr>
              <w:t>Each new ELI unit = 1 points (Capped at 10 points)</w:t>
            </w:r>
          </w:p>
          <w:p w:rsidR="00F519BD" w:rsidRPr="001C5FEC" w:rsidRDefault="00CC7034" w:rsidP="005B37E9">
            <w:pPr>
              <w:pStyle w:val="ListParagraph"/>
              <w:spacing w:before="240"/>
              <w:ind w:left="0"/>
              <w:rPr>
                <w:rFonts w:ascii="Arial" w:hAnsi="Arial" w:cs="Arial"/>
                <w:sz w:val="20"/>
                <w:szCs w:val="20"/>
              </w:rPr>
            </w:pPr>
            <w:r w:rsidRPr="001C5FEC">
              <w:rPr>
                <w:rFonts w:ascii="Arial" w:hAnsi="Arial" w:cs="Arial"/>
                <w:sz w:val="20"/>
                <w:szCs w:val="20"/>
              </w:rPr>
              <w:t>Examples:</w:t>
            </w:r>
          </w:p>
          <w:p w:rsidR="007D52B1" w:rsidRPr="001C5FEC" w:rsidRDefault="007D52B1" w:rsidP="00C56CE4">
            <w:pPr>
              <w:pStyle w:val="ListParagraph"/>
              <w:numPr>
                <w:ilvl w:val="0"/>
                <w:numId w:val="1"/>
              </w:numPr>
              <w:tabs>
                <w:tab w:val="right" w:pos="2970"/>
              </w:tabs>
              <w:ind w:left="422" w:hanging="422"/>
              <w:rPr>
                <w:rFonts w:ascii="Arial" w:hAnsi="Arial" w:cs="Arial"/>
                <w:sz w:val="20"/>
                <w:szCs w:val="20"/>
              </w:rPr>
            </w:pPr>
            <w:r w:rsidRPr="001C5FEC">
              <w:rPr>
                <w:rFonts w:ascii="Arial" w:hAnsi="Arial" w:cs="Arial"/>
                <w:sz w:val="20"/>
                <w:szCs w:val="20"/>
              </w:rPr>
              <w:t>New construction of 4 new units (minimum project size) consisting of 3 mar</w:t>
            </w:r>
            <w:r w:rsidR="00CC7034" w:rsidRPr="001C5FEC">
              <w:rPr>
                <w:rFonts w:ascii="Arial" w:hAnsi="Arial" w:cs="Arial"/>
                <w:sz w:val="20"/>
                <w:szCs w:val="20"/>
              </w:rPr>
              <w:t>ket rate unit and 1 ELI unit =</w:t>
            </w:r>
            <w:r w:rsidRPr="001C5FEC">
              <w:rPr>
                <w:rFonts w:ascii="Arial" w:hAnsi="Arial" w:cs="Arial"/>
                <w:sz w:val="20"/>
                <w:szCs w:val="20"/>
              </w:rPr>
              <w:t xml:space="preserve"> 1 </w:t>
            </w:r>
            <w:proofErr w:type="spellStart"/>
            <w:r w:rsidRPr="001C5FEC">
              <w:rPr>
                <w:rFonts w:ascii="Arial" w:hAnsi="Arial" w:cs="Arial"/>
                <w:sz w:val="20"/>
                <w:szCs w:val="20"/>
              </w:rPr>
              <w:t>pt</w:t>
            </w:r>
            <w:proofErr w:type="spellEnd"/>
            <w:r w:rsidRPr="001C5FEC">
              <w:rPr>
                <w:rFonts w:ascii="Arial" w:hAnsi="Arial" w:cs="Arial"/>
                <w:sz w:val="20"/>
                <w:szCs w:val="20"/>
              </w:rPr>
              <w:t xml:space="preserve">,  </w:t>
            </w:r>
          </w:p>
          <w:p w:rsidR="007D52B1" w:rsidRPr="001C5FEC" w:rsidRDefault="007D52B1" w:rsidP="00C56CE4">
            <w:pPr>
              <w:pStyle w:val="ListParagraph"/>
              <w:numPr>
                <w:ilvl w:val="0"/>
                <w:numId w:val="1"/>
              </w:numPr>
              <w:ind w:left="422" w:hanging="422"/>
              <w:rPr>
                <w:rFonts w:ascii="Arial" w:hAnsi="Arial" w:cs="Arial"/>
                <w:sz w:val="20"/>
                <w:szCs w:val="20"/>
              </w:rPr>
            </w:pPr>
            <w:r w:rsidRPr="001C5FEC">
              <w:rPr>
                <w:rFonts w:ascii="Arial" w:hAnsi="Arial" w:cs="Arial"/>
                <w:sz w:val="20"/>
                <w:szCs w:val="20"/>
              </w:rPr>
              <w:t>Adaptive reuse of a hotel into 30 units consisting of 10 market rate units, 10 units at 50% AMI, and 10 ELI units</w:t>
            </w:r>
            <w:r w:rsidR="00CC7034" w:rsidRPr="001C5FEC">
              <w:rPr>
                <w:rFonts w:ascii="Arial" w:hAnsi="Arial" w:cs="Arial"/>
                <w:sz w:val="20"/>
                <w:szCs w:val="20"/>
              </w:rPr>
              <w:t xml:space="preserve"> =</w:t>
            </w:r>
            <w:r w:rsidRPr="001C5FEC">
              <w:rPr>
                <w:rFonts w:ascii="Arial" w:hAnsi="Arial" w:cs="Arial"/>
                <w:sz w:val="20"/>
                <w:szCs w:val="20"/>
              </w:rPr>
              <w:t xml:space="preserve"> 10 pts</w:t>
            </w:r>
          </w:p>
          <w:p w:rsidR="00B458AC" w:rsidRPr="001C5FEC" w:rsidRDefault="00B458AC" w:rsidP="005B37E9">
            <w:pPr>
              <w:rPr>
                <w:rFonts w:ascii="Arial" w:hAnsi="Arial" w:cs="Arial"/>
                <w:i/>
                <w:sz w:val="20"/>
                <w:szCs w:val="20"/>
              </w:rPr>
            </w:pPr>
          </w:p>
        </w:tc>
        <w:tc>
          <w:tcPr>
            <w:tcW w:w="990" w:type="dxa"/>
            <w:vAlign w:val="center"/>
          </w:tcPr>
          <w:p w:rsidR="007D52B1" w:rsidRPr="001C5FEC" w:rsidRDefault="007D52B1" w:rsidP="00C56CE4">
            <w:pPr>
              <w:jc w:val="center"/>
              <w:rPr>
                <w:sz w:val="20"/>
                <w:szCs w:val="20"/>
              </w:rPr>
            </w:pPr>
            <w:r w:rsidRPr="001C5FEC">
              <w:rPr>
                <w:sz w:val="20"/>
                <w:szCs w:val="20"/>
              </w:rPr>
              <w:t>Up to 10</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819"/>
        </w:trPr>
        <w:tc>
          <w:tcPr>
            <w:tcW w:w="568" w:type="dxa"/>
            <w:vAlign w:val="center"/>
          </w:tcPr>
          <w:p w:rsidR="007D52B1" w:rsidRPr="001C5FEC" w:rsidRDefault="007D52B1" w:rsidP="00C56CE4">
            <w:pPr>
              <w:rPr>
                <w:sz w:val="20"/>
                <w:szCs w:val="20"/>
              </w:rPr>
            </w:pPr>
            <w:r w:rsidRPr="001C5FEC">
              <w:rPr>
                <w:sz w:val="20"/>
                <w:szCs w:val="20"/>
              </w:rPr>
              <w:t>9.</w:t>
            </w:r>
          </w:p>
        </w:tc>
        <w:tc>
          <w:tcPr>
            <w:tcW w:w="6560" w:type="dxa"/>
          </w:tcPr>
          <w:p w:rsidR="007D52B1" w:rsidRPr="001C5FEC" w:rsidRDefault="007D52B1" w:rsidP="00E64072">
            <w:pPr>
              <w:spacing w:before="240"/>
              <w:rPr>
                <w:rFonts w:ascii="Arial" w:hAnsi="Arial" w:cs="Arial"/>
                <w:sz w:val="20"/>
                <w:szCs w:val="20"/>
              </w:rPr>
            </w:pPr>
            <w:r w:rsidRPr="001C5FEC">
              <w:rPr>
                <w:rFonts w:ascii="Arial" w:hAnsi="Arial" w:cs="Arial"/>
                <w:sz w:val="20"/>
                <w:szCs w:val="20"/>
              </w:rPr>
              <w:t>Applicant’s ability to obligate NHTF funds and undertake eligible activities in a timely manner</w:t>
            </w:r>
          </w:p>
          <w:p w:rsidR="00F519BD" w:rsidRPr="001C5FEC" w:rsidRDefault="00F519BD" w:rsidP="00C56CE4">
            <w:pPr>
              <w:rPr>
                <w:rFonts w:ascii="Arial" w:hAnsi="Arial" w:cs="Arial"/>
                <w:sz w:val="20"/>
                <w:szCs w:val="20"/>
              </w:rPr>
            </w:pPr>
          </w:p>
          <w:p w:rsidR="007D52B1" w:rsidRPr="001C5FEC" w:rsidRDefault="007D52B1" w:rsidP="00C56CE4">
            <w:pPr>
              <w:pStyle w:val="ListParagraph"/>
              <w:numPr>
                <w:ilvl w:val="0"/>
                <w:numId w:val="2"/>
              </w:numPr>
              <w:rPr>
                <w:rFonts w:ascii="Arial" w:hAnsi="Arial" w:cs="Arial"/>
                <w:sz w:val="20"/>
                <w:szCs w:val="20"/>
              </w:rPr>
            </w:pPr>
            <w:r w:rsidRPr="001C5FEC">
              <w:rPr>
                <w:rFonts w:ascii="Arial" w:eastAsia="Calibri" w:hAnsi="Arial" w:cs="Arial"/>
                <w:sz w:val="20"/>
                <w:szCs w:val="20"/>
              </w:rPr>
              <w:t xml:space="preserve">evidence of site control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5 pts</w:t>
            </w:r>
          </w:p>
          <w:p w:rsidR="007D52B1" w:rsidRPr="001C5FEC" w:rsidRDefault="007D52B1" w:rsidP="00C56CE4">
            <w:pPr>
              <w:pStyle w:val="ListParagraph"/>
              <w:numPr>
                <w:ilvl w:val="0"/>
                <w:numId w:val="2"/>
              </w:numPr>
              <w:rPr>
                <w:rFonts w:ascii="Arial" w:hAnsi="Arial" w:cs="Arial"/>
                <w:sz w:val="20"/>
                <w:szCs w:val="20"/>
              </w:rPr>
            </w:pPr>
            <w:r w:rsidRPr="001C5FEC">
              <w:rPr>
                <w:rFonts w:ascii="Arial" w:eastAsia="Calibri" w:hAnsi="Arial" w:cs="Arial"/>
                <w:sz w:val="20"/>
                <w:szCs w:val="20"/>
              </w:rPr>
              <w:t>evidence that the current zoning of the proposed site does not prohibi</w:t>
            </w:r>
            <w:r w:rsidR="00C61980" w:rsidRPr="001C5FEC">
              <w:rPr>
                <w:rFonts w:ascii="Arial" w:eastAsia="Calibri" w:hAnsi="Arial" w:cs="Arial"/>
                <w:sz w:val="20"/>
                <w:szCs w:val="20"/>
              </w:rPr>
              <w:t xml:space="preserve">t multifamily housing </w:t>
            </w:r>
            <w:r w:rsidR="00C61980" w:rsidRPr="001C5FEC">
              <w:rPr>
                <w:rFonts w:ascii="Arial" w:hAnsi="Arial" w:cs="Arial"/>
                <w:sz w:val="20"/>
                <w:szCs w:val="20"/>
              </w:rPr>
              <w:fldChar w:fldCharType="begin">
                <w:ffData>
                  <w:name w:val="Check4"/>
                  <w:enabled/>
                  <w:calcOnExit w:val="0"/>
                  <w:checkBox>
                    <w:sizeAuto/>
                    <w:default w:val="0"/>
                  </w:checkBox>
                </w:ffData>
              </w:fldChar>
            </w:r>
            <w:r w:rsidR="00C61980"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00C61980" w:rsidRPr="001C5FEC">
              <w:rPr>
                <w:rFonts w:ascii="Arial" w:hAnsi="Arial" w:cs="Arial"/>
                <w:sz w:val="20"/>
                <w:szCs w:val="20"/>
              </w:rPr>
              <w:fldChar w:fldCharType="end"/>
            </w:r>
            <w:r w:rsidR="00C61980" w:rsidRPr="001C5FEC">
              <w:rPr>
                <w:rFonts w:ascii="Arial" w:hAnsi="Arial" w:cs="Arial"/>
                <w:sz w:val="20"/>
                <w:szCs w:val="20"/>
              </w:rPr>
              <w:t xml:space="preserve"> 5 pts</w:t>
            </w:r>
          </w:p>
          <w:p w:rsidR="007D52B1" w:rsidRPr="001C5FEC" w:rsidRDefault="007D52B1" w:rsidP="00C56CE4">
            <w:pPr>
              <w:pStyle w:val="ListParagraph"/>
              <w:numPr>
                <w:ilvl w:val="0"/>
                <w:numId w:val="2"/>
              </w:numPr>
              <w:rPr>
                <w:rFonts w:ascii="Arial" w:hAnsi="Arial" w:cs="Arial"/>
                <w:sz w:val="20"/>
                <w:szCs w:val="20"/>
              </w:rPr>
            </w:pPr>
            <w:r w:rsidRPr="001C5FEC">
              <w:rPr>
                <w:rFonts w:ascii="Arial" w:eastAsia="Calibri" w:hAnsi="Arial" w:cs="Arial"/>
                <w:sz w:val="20"/>
                <w:szCs w:val="20"/>
              </w:rPr>
              <w:t>evidence of all other non-MFA funding sources</w:t>
            </w:r>
          </w:p>
          <w:p w:rsidR="00C61980" w:rsidRPr="001C5FEC" w:rsidRDefault="007D52B1" w:rsidP="009629D4">
            <w:pPr>
              <w:pStyle w:val="ListParagraph"/>
              <w:numPr>
                <w:ilvl w:val="1"/>
                <w:numId w:val="2"/>
              </w:numPr>
              <w:ind w:left="602" w:hanging="242"/>
              <w:rPr>
                <w:rFonts w:ascii="Arial" w:hAnsi="Arial" w:cs="Arial"/>
                <w:sz w:val="20"/>
                <w:szCs w:val="20"/>
              </w:rPr>
            </w:pPr>
            <w:r w:rsidRPr="001C5FEC">
              <w:rPr>
                <w:rFonts w:ascii="Arial" w:eastAsia="Calibri" w:hAnsi="Arial" w:cs="Arial"/>
                <w:sz w:val="20"/>
                <w:szCs w:val="20"/>
              </w:rPr>
              <w:t>letters of interest from all ot</w:t>
            </w:r>
            <w:r w:rsidR="00C61980" w:rsidRPr="001C5FEC">
              <w:rPr>
                <w:rFonts w:ascii="Arial" w:eastAsia="Calibri" w:hAnsi="Arial" w:cs="Arial"/>
                <w:sz w:val="20"/>
                <w:szCs w:val="20"/>
              </w:rPr>
              <w:t xml:space="preserve">her non-MFA funding </w:t>
            </w:r>
            <w:r w:rsidR="00C61980" w:rsidRPr="001C5FEC">
              <w:rPr>
                <w:rFonts w:ascii="Arial" w:hAnsi="Arial" w:cs="Arial"/>
                <w:sz w:val="20"/>
                <w:szCs w:val="20"/>
              </w:rPr>
              <w:fldChar w:fldCharType="begin">
                <w:ffData>
                  <w:name w:val="Check4"/>
                  <w:enabled/>
                  <w:calcOnExit w:val="0"/>
                  <w:checkBox>
                    <w:sizeAuto/>
                    <w:default w:val="0"/>
                  </w:checkBox>
                </w:ffData>
              </w:fldChar>
            </w:r>
            <w:r w:rsidR="00C61980"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00C61980" w:rsidRPr="001C5FEC">
              <w:rPr>
                <w:rFonts w:ascii="Arial" w:hAnsi="Arial" w:cs="Arial"/>
                <w:sz w:val="20"/>
                <w:szCs w:val="20"/>
              </w:rPr>
              <w:fldChar w:fldCharType="end"/>
            </w:r>
            <w:r w:rsidR="00C61980" w:rsidRPr="001C5FEC">
              <w:rPr>
                <w:rFonts w:ascii="Arial" w:hAnsi="Arial" w:cs="Arial"/>
                <w:sz w:val="20"/>
                <w:szCs w:val="20"/>
              </w:rPr>
              <w:t xml:space="preserve"> 5 pts</w:t>
            </w:r>
          </w:p>
          <w:p w:rsidR="007D52B1" w:rsidRPr="001C5FEC" w:rsidRDefault="007D52B1" w:rsidP="00B458AC">
            <w:pPr>
              <w:pStyle w:val="ListParagraph"/>
              <w:numPr>
                <w:ilvl w:val="1"/>
                <w:numId w:val="2"/>
              </w:numPr>
              <w:spacing w:after="200"/>
              <w:ind w:left="602" w:hanging="242"/>
              <w:rPr>
                <w:rFonts w:ascii="Arial" w:hAnsi="Arial" w:cs="Arial"/>
                <w:sz w:val="20"/>
                <w:szCs w:val="20"/>
              </w:rPr>
            </w:pPr>
            <w:r w:rsidRPr="001C5FEC">
              <w:rPr>
                <w:rFonts w:ascii="Arial" w:eastAsia="Calibri" w:hAnsi="Arial" w:cs="Arial"/>
                <w:sz w:val="20"/>
                <w:szCs w:val="20"/>
              </w:rPr>
              <w:t>commitment letters from all other non</w:t>
            </w:r>
            <w:r w:rsidR="00C61980" w:rsidRPr="001C5FEC">
              <w:rPr>
                <w:rFonts w:ascii="Arial" w:eastAsia="Calibri" w:hAnsi="Arial" w:cs="Arial"/>
                <w:sz w:val="20"/>
                <w:szCs w:val="20"/>
              </w:rPr>
              <w:t xml:space="preserve">-MFA funding sources </w:t>
            </w:r>
            <w:r w:rsidR="00C61980" w:rsidRPr="001C5FEC">
              <w:rPr>
                <w:rFonts w:ascii="Arial" w:hAnsi="Arial" w:cs="Arial"/>
                <w:sz w:val="20"/>
                <w:szCs w:val="20"/>
              </w:rPr>
              <w:fldChar w:fldCharType="begin">
                <w:ffData>
                  <w:name w:val="Check4"/>
                  <w:enabled/>
                  <w:calcOnExit w:val="0"/>
                  <w:checkBox>
                    <w:sizeAuto/>
                    <w:default w:val="0"/>
                  </w:checkBox>
                </w:ffData>
              </w:fldChar>
            </w:r>
            <w:r w:rsidR="00C61980"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00C61980" w:rsidRPr="001C5FEC">
              <w:rPr>
                <w:rFonts w:ascii="Arial" w:hAnsi="Arial" w:cs="Arial"/>
                <w:sz w:val="20"/>
                <w:szCs w:val="20"/>
              </w:rPr>
              <w:fldChar w:fldCharType="end"/>
            </w:r>
            <w:r w:rsidR="00C61980" w:rsidRPr="001C5FEC">
              <w:rPr>
                <w:rFonts w:ascii="Arial" w:hAnsi="Arial" w:cs="Arial"/>
                <w:sz w:val="20"/>
                <w:szCs w:val="20"/>
              </w:rPr>
              <w:t xml:space="preserve"> 10 pts</w:t>
            </w:r>
          </w:p>
        </w:tc>
        <w:tc>
          <w:tcPr>
            <w:tcW w:w="990" w:type="dxa"/>
            <w:vAlign w:val="center"/>
          </w:tcPr>
          <w:p w:rsidR="007D52B1" w:rsidRPr="001C5FEC" w:rsidRDefault="007D52B1" w:rsidP="00C56CE4">
            <w:pPr>
              <w:jc w:val="center"/>
              <w:rPr>
                <w:sz w:val="20"/>
                <w:szCs w:val="20"/>
              </w:rPr>
            </w:pPr>
            <w:r w:rsidRPr="001C5FEC">
              <w:rPr>
                <w:sz w:val="20"/>
                <w:szCs w:val="20"/>
              </w:rPr>
              <w:t>Up to 20</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85"/>
        </w:trPr>
        <w:tc>
          <w:tcPr>
            <w:tcW w:w="568" w:type="dxa"/>
            <w:vAlign w:val="center"/>
          </w:tcPr>
          <w:p w:rsidR="007D52B1" w:rsidRPr="001C5FEC" w:rsidRDefault="007D52B1" w:rsidP="00C56CE4">
            <w:pPr>
              <w:spacing w:before="240"/>
              <w:rPr>
                <w:sz w:val="20"/>
                <w:szCs w:val="20"/>
              </w:rPr>
            </w:pPr>
            <w:r w:rsidRPr="001C5FEC">
              <w:rPr>
                <w:sz w:val="20"/>
                <w:szCs w:val="20"/>
              </w:rPr>
              <w:t>10.</w:t>
            </w:r>
          </w:p>
        </w:tc>
        <w:tc>
          <w:tcPr>
            <w:tcW w:w="6560" w:type="dxa"/>
          </w:tcPr>
          <w:p w:rsidR="00F519BD" w:rsidRPr="001C5FEC" w:rsidRDefault="007D52B1" w:rsidP="00C56CE4">
            <w:pPr>
              <w:spacing w:before="120"/>
              <w:rPr>
                <w:rFonts w:ascii="Arial" w:hAnsi="Arial" w:cs="Arial"/>
                <w:sz w:val="20"/>
                <w:szCs w:val="20"/>
              </w:rPr>
            </w:pPr>
            <w:r w:rsidRPr="001C5FEC">
              <w:rPr>
                <w:rFonts w:ascii="Arial" w:hAnsi="Arial" w:cs="Arial"/>
                <w:sz w:val="20"/>
                <w:szCs w:val="20"/>
              </w:rPr>
              <w:t>Use of state, local and private funding sources</w:t>
            </w:r>
          </w:p>
          <w:p w:rsidR="00B458AC" w:rsidRPr="001C5FEC" w:rsidRDefault="00B458AC" w:rsidP="00B458AC">
            <w:pPr>
              <w:tabs>
                <w:tab w:val="left" w:pos="3342"/>
              </w:tabs>
              <w:rPr>
                <w:i/>
                <w:sz w:val="20"/>
                <w:szCs w:val="20"/>
              </w:rPr>
            </w:pPr>
            <w:r w:rsidRPr="001C5FEC">
              <w:rPr>
                <w:i/>
                <w:sz w:val="20"/>
                <w:szCs w:val="20"/>
              </w:rPr>
              <w:t xml:space="preserve">Projects that have funding sources outside of federal funding sources, low-income housing tax credits, bond financing, and MFA funding sources, as follows:    </w:t>
            </w:r>
          </w:p>
          <w:p w:rsidR="00E64072" w:rsidRPr="001C5FEC" w:rsidRDefault="00E64072" w:rsidP="00E64072">
            <w:pPr>
              <w:rPr>
                <w:rFonts w:ascii="Arial" w:hAnsi="Arial" w:cs="Arial"/>
                <w:sz w:val="20"/>
                <w:szCs w:val="20"/>
              </w:rPr>
            </w:pPr>
          </w:p>
          <w:p w:rsidR="00C61980" w:rsidRPr="001C5FEC" w:rsidRDefault="00C61980" w:rsidP="00E64072">
            <w:pPr>
              <w:ind w:left="360" w:hanging="360"/>
              <w:rPr>
                <w:rFonts w:ascii="Arial" w:hAnsi="Arial" w:cs="Arial"/>
                <w:sz w:val="20"/>
                <w:szCs w:val="20"/>
              </w:rPr>
            </w:pPr>
            <w:r w:rsidRPr="001C5FEC">
              <w:rPr>
                <w:rFonts w:ascii="Arial" w:hAnsi="Arial" w:cs="Arial"/>
                <w:sz w:val="20"/>
                <w:szCs w:val="20"/>
              </w:rPr>
              <w:t xml:space="preserve">10% of NHTF funds requested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4 pts</w:t>
            </w:r>
          </w:p>
          <w:p w:rsidR="00C61980" w:rsidRPr="001C5FEC" w:rsidRDefault="00C61980" w:rsidP="00E64072">
            <w:pPr>
              <w:ind w:left="360" w:hanging="360"/>
              <w:rPr>
                <w:rFonts w:ascii="Arial" w:hAnsi="Arial" w:cs="Arial"/>
                <w:sz w:val="20"/>
                <w:szCs w:val="20"/>
              </w:rPr>
            </w:pPr>
            <w:r w:rsidRPr="001C5FEC">
              <w:rPr>
                <w:rFonts w:ascii="Arial" w:hAnsi="Arial" w:cs="Arial"/>
                <w:sz w:val="20"/>
                <w:szCs w:val="20"/>
              </w:rPr>
              <w:t xml:space="preserve">20% of NHTF funds requested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8 pts</w:t>
            </w:r>
          </w:p>
          <w:p w:rsidR="00C61980" w:rsidRPr="001C5FEC" w:rsidRDefault="00C61980" w:rsidP="00E64072">
            <w:pPr>
              <w:ind w:left="360" w:hanging="360"/>
              <w:rPr>
                <w:rFonts w:ascii="Arial" w:hAnsi="Arial" w:cs="Arial"/>
                <w:sz w:val="20"/>
                <w:szCs w:val="20"/>
              </w:rPr>
            </w:pPr>
            <w:r w:rsidRPr="001C5FEC">
              <w:rPr>
                <w:rFonts w:ascii="Arial" w:hAnsi="Arial" w:cs="Arial"/>
                <w:sz w:val="20"/>
                <w:szCs w:val="20"/>
              </w:rPr>
              <w:t xml:space="preserve">30% of NHTF funds requested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12 pts</w:t>
            </w:r>
          </w:p>
          <w:p w:rsidR="00C61980" w:rsidRPr="001C5FEC" w:rsidRDefault="00C61980" w:rsidP="00E64072">
            <w:pPr>
              <w:ind w:left="360" w:hanging="360"/>
              <w:rPr>
                <w:rFonts w:ascii="Arial" w:hAnsi="Arial" w:cs="Arial"/>
                <w:sz w:val="20"/>
                <w:szCs w:val="20"/>
              </w:rPr>
            </w:pPr>
            <w:r w:rsidRPr="001C5FEC">
              <w:rPr>
                <w:rFonts w:ascii="Arial" w:hAnsi="Arial" w:cs="Arial"/>
                <w:sz w:val="20"/>
                <w:szCs w:val="20"/>
              </w:rPr>
              <w:t xml:space="preserve">40% of NHTF funds requested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16 pts</w:t>
            </w:r>
          </w:p>
          <w:p w:rsidR="00F519BD" w:rsidRPr="001C5FEC" w:rsidRDefault="00C61980" w:rsidP="00B458AC">
            <w:pPr>
              <w:ind w:left="332" w:hanging="332"/>
              <w:rPr>
                <w:rFonts w:ascii="Arial" w:hAnsi="Arial" w:cs="Arial"/>
                <w:sz w:val="20"/>
                <w:szCs w:val="20"/>
              </w:rPr>
            </w:pPr>
            <w:r w:rsidRPr="001C5FEC">
              <w:rPr>
                <w:rFonts w:ascii="Arial" w:hAnsi="Arial" w:cs="Arial"/>
                <w:sz w:val="20"/>
                <w:szCs w:val="20"/>
              </w:rPr>
              <w:t xml:space="preserve">50% of NHTF funds requested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20 pts </w:t>
            </w:r>
          </w:p>
          <w:p w:rsidR="00B458AC" w:rsidRPr="001C5FEC" w:rsidRDefault="00B458AC" w:rsidP="00B458AC">
            <w:pPr>
              <w:ind w:left="332" w:hanging="332"/>
              <w:rPr>
                <w:rFonts w:ascii="Arial" w:hAnsi="Arial" w:cs="Arial"/>
                <w:sz w:val="20"/>
                <w:szCs w:val="20"/>
              </w:rPr>
            </w:pPr>
          </w:p>
        </w:tc>
        <w:tc>
          <w:tcPr>
            <w:tcW w:w="990" w:type="dxa"/>
            <w:vAlign w:val="center"/>
          </w:tcPr>
          <w:p w:rsidR="007D52B1" w:rsidRPr="001C5FEC" w:rsidRDefault="007D52B1" w:rsidP="00C56CE4">
            <w:pPr>
              <w:spacing w:before="240"/>
              <w:jc w:val="center"/>
              <w:rPr>
                <w:sz w:val="20"/>
                <w:szCs w:val="20"/>
              </w:rPr>
            </w:pPr>
            <w:r w:rsidRPr="001C5FEC">
              <w:rPr>
                <w:sz w:val="20"/>
                <w:szCs w:val="20"/>
              </w:rPr>
              <w:t>Up to 20</w:t>
            </w:r>
          </w:p>
        </w:tc>
        <w:tc>
          <w:tcPr>
            <w:tcW w:w="810" w:type="dxa"/>
          </w:tcPr>
          <w:p w:rsidR="007D52B1" w:rsidRPr="001C5FEC" w:rsidRDefault="007D52B1" w:rsidP="00C56CE4">
            <w:pPr>
              <w:spacing w:before="240"/>
              <w:rPr>
                <w:sz w:val="20"/>
                <w:szCs w:val="20"/>
              </w:rPr>
            </w:pPr>
          </w:p>
        </w:tc>
        <w:tc>
          <w:tcPr>
            <w:tcW w:w="813" w:type="dxa"/>
            <w:shd w:val="clear" w:color="auto" w:fill="D9D9D9" w:themeFill="background1" w:themeFillShade="D9"/>
          </w:tcPr>
          <w:p w:rsidR="007D52B1" w:rsidRPr="001C5FEC" w:rsidRDefault="007D52B1" w:rsidP="00C56CE4">
            <w:pPr>
              <w:spacing w:before="240"/>
              <w:rPr>
                <w:sz w:val="20"/>
                <w:szCs w:val="20"/>
              </w:rPr>
            </w:pPr>
          </w:p>
        </w:tc>
      </w:tr>
      <w:tr w:rsidR="00F97F13" w:rsidRPr="001C5FEC" w:rsidTr="00F97F13">
        <w:trPr>
          <w:trHeight w:val="819"/>
        </w:trPr>
        <w:tc>
          <w:tcPr>
            <w:tcW w:w="568" w:type="dxa"/>
            <w:vAlign w:val="center"/>
          </w:tcPr>
          <w:p w:rsidR="007D52B1" w:rsidRPr="001C5FEC" w:rsidRDefault="007D52B1" w:rsidP="00C56CE4">
            <w:pPr>
              <w:rPr>
                <w:sz w:val="20"/>
                <w:szCs w:val="20"/>
              </w:rPr>
            </w:pPr>
            <w:r w:rsidRPr="001C5FEC">
              <w:rPr>
                <w:sz w:val="20"/>
                <w:szCs w:val="20"/>
              </w:rPr>
              <w:t>11.</w:t>
            </w:r>
          </w:p>
        </w:tc>
        <w:tc>
          <w:tcPr>
            <w:tcW w:w="6560" w:type="dxa"/>
            <w:shd w:val="clear" w:color="auto" w:fill="auto"/>
          </w:tcPr>
          <w:p w:rsidR="007D52B1" w:rsidRPr="001C5FEC" w:rsidRDefault="007D52B1" w:rsidP="003121E0">
            <w:pPr>
              <w:spacing w:before="240"/>
              <w:rPr>
                <w:rFonts w:ascii="Arial" w:hAnsi="Arial" w:cs="Arial"/>
                <w:sz w:val="20"/>
                <w:szCs w:val="20"/>
              </w:rPr>
            </w:pPr>
            <w:r w:rsidRPr="001C5FEC">
              <w:rPr>
                <w:rFonts w:ascii="Arial" w:hAnsi="Arial" w:cs="Arial"/>
                <w:sz w:val="20"/>
                <w:szCs w:val="20"/>
              </w:rPr>
              <w:t>Extent to which the project meets any of the following priority housing needs identified in the NM Consolidated Plan: housing for the elderly and frail elderly, housing for persons with severe mental illness, housing for persons with disabilities, housing for persons with alcohol or other addictions, housing for persons with HIV/AIDS, housing for victims of domestic violence, housing for individuals or households experiencing homelessness</w:t>
            </w:r>
            <w:r w:rsidR="00B458AC" w:rsidRPr="001C5FEC">
              <w:rPr>
                <w:rFonts w:ascii="Arial" w:hAnsi="Arial" w:cs="Arial"/>
                <w:sz w:val="20"/>
                <w:szCs w:val="20"/>
              </w:rPr>
              <w:t xml:space="preserve">, </w:t>
            </w:r>
            <w:r w:rsidR="00B458AC" w:rsidRPr="001C5FEC">
              <w:rPr>
                <w:rFonts w:ascii="Arial" w:hAnsi="Arial" w:cs="Arial"/>
                <w:i/>
                <w:sz w:val="20"/>
                <w:szCs w:val="20"/>
              </w:rPr>
              <w:t>as follows</w:t>
            </w:r>
            <w:r w:rsidR="00B458AC" w:rsidRPr="001C5FEC">
              <w:rPr>
                <w:rFonts w:ascii="Arial" w:hAnsi="Arial" w:cs="Arial"/>
                <w:sz w:val="20"/>
                <w:szCs w:val="20"/>
              </w:rPr>
              <w:t>:</w:t>
            </w:r>
          </w:p>
          <w:p w:rsidR="00F519BD" w:rsidRPr="001C5FEC" w:rsidRDefault="00F519BD" w:rsidP="00C56CE4">
            <w:pPr>
              <w:rPr>
                <w:rFonts w:ascii="Arial" w:hAnsi="Arial" w:cs="Arial"/>
                <w:sz w:val="20"/>
                <w:szCs w:val="20"/>
              </w:rPr>
            </w:pPr>
          </w:p>
          <w:p w:rsidR="00C61980" w:rsidRPr="001C5FEC" w:rsidRDefault="00C61980" w:rsidP="00C56CE4">
            <w:pPr>
              <w:ind w:left="360" w:hanging="360"/>
              <w:rPr>
                <w:rFonts w:ascii="Arial" w:hAnsi="Arial" w:cs="Arial"/>
                <w:sz w:val="20"/>
                <w:szCs w:val="20"/>
              </w:rPr>
            </w:pPr>
            <w:r w:rsidRPr="001C5FEC">
              <w:rPr>
                <w:rFonts w:ascii="Arial" w:hAnsi="Arial" w:cs="Arial"/>
                <w:sz w:val="20"/>
                <w:szCs w:val="20"/>
              </w:rPr>
              <w:t xml:space="preserve">10% of NHTF units targeted to any priority housing need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4 pts</w:t>
            </w:r>
          </w:p>
          <w:p w:rsidR="00C61980" w:rsidRPr="001C5FEC" w:rsidRDefault="00C61980" w:rsidP="00C56CE4">
            <w:pPr>
              <w:ind w:left="360" w:hanging="360"/>
              <w:rPr>
                <w:rFonts w:ascii="Arial" w:hAnsi="Arial" w:cs="Arial"/>
                <w:sz w:val="20"/>
                <w:szCs w:val="20"/>
              </w:rPr>
            </w:pPr>
            <w:r w:rsidRPr="001C5FEC">
              <w:rPr>
                <w:rFonts w:ascii="Arial" w:hAnsi="Arial" w:cs="Arial"/>
                <w:sz w:val="20"/>
                <w:szCs w:val="20"/>
              </w:rPr>
              <w:t xml:space="preserve">20% of NHTF units targeted to any priority housing need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8 pts</w:t>
            </w:r>
          </w:p>
          <w:p w:rsidR="00C61980" w:rsidRPr="001C5FEC" w:rsidRDefault="00C61980" w:rsidP="00C56CE4">
            <w:pPr>
              <w:ind w:left="360" w:hanging="360"/>
              <w:rPr>
                <w:rFonts w:ascii="Arial" w:hAnsi="Arial" w:cs="Arial"/>
                <w:sz w:val="20"/>
                <w:szCs w:val="20"/>
              </w:rPr>
            </w:pPr>
            <w:r w:rsidRPr="001C5FEC">
              <w:rPr>
                <w:rFonts w:ascii="Arial" w:hAnsi="Arial" w:cs="Arial"/>
                <w:sz w:val="20"/>
                <w:szCs w:val="20"/>
              </w:rPr>
              <w:t xml:space="preserve">30% of NHTF units targeted to any priority housing need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12 pts</w:t>
            </w:r>
          </w:p>
          <w:p w:rsidR="00C61980" w:rsidRPr="001C5FEC" w:rsidRDefault="00C61980" w:rsidP="00C56CE4">
            <w:pPr>
              <w:ind w:left="360" w:hanging="360"/>
              <w:rPr>
                <w:rFonts w:ascii="Arial" w:hAnsi="Arial" w:cs="Arial"/>
                <w:sz w:val="20"/>
                <w:szCs w:val="20"/>
              </w:rPr>
            </w:pPr>
            <w:r w:rsidRPr="001C5FEC">
              <w:rPr>
                <w:rFonts w:ascii="Arial" w:hAnsi="Arial" w:cs="Arial"/>
                <w:sz w:val="20"/>
                <w:szCs w:val="20"/>
              </w:rPr>
              <w:t xml:space="preserve">40% of NHTF units targeted to any priority housing need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16 pts</w:t>
            </w:r>
          </w:p>
          <w:p w:rsidR="007D52B1" w:rsidRPr="001C5FEC" w:rsidRDefault="00C61980" w:rsidP="00B458AC">
            <w:pPr>
              <w:rPr>
                <w:rFonts w:ascii="Arial" w:hAnsi="Arial" w:cs="Arial"/>
                <w:sz w:val="20"/>
                <w:szCs w:val="20"/>
              </w:rPr>
            </w:pPr>
            <w:r w:rsidRPr="001C5FEC">
              <w:rPr>
                <w:rFonts w:ascii="Arial" w:hAnsi="Arial" w:cs="Arial"/>
                <w:sz w:val="20"/>
                <w:szCs w:val="20"/>
              </w:rPr>
              <w:t xml:space="preserve">50% of NHTF units targeted to any priority housing need </w:t>
            </w:r>
            <w:r w:rsidRPr="001C5FEC">
              <w:rPr>
                <w:rFonts w:ascii="Arial" w:hAnsi="Arial" w:cs="Arial"/>
                <w:sz w:val="20"/>
                <w:szCs w:val="20"/>
              </w:rPr>
              <w:fldChar w:fldCharType="begin">
                <w:ffData>
                  <w:name w:val="Check4"/>
                  <w:enabled/>
                  <w:calcOnExit w:val="0"/>
                  <w:checkBox>
                    <w:sizeAuto/>
                    <w:default w:val="0"/>
                  </w:checkBox>
                </w:ffData>
              </w:fldChar>
            </w:r>
            <w:r w:rsidRPr="001C5FEC">
              <w:rPr>
                <w:rFonts w:ascii="Arial" w:hAnsi="Arial" w:cs="Arial"/>
                <w:sz w:val="20"/>
                <w:szCs w:val="20"/>
              </w:rPr>
              <w:instrText xml:space="preserve"> FORMCHECKBOX </w:instrText>
            </w:r>
            <w:r w:rsidR="001C5FEC" w:rsidRPr="001C5FEC">
              <w:rPr>
                <w:rFonts w:ascii="Arial" w:hAnsi="Arial" w:cs="Arial"/>
                <w:sz w:val="20"/>
                <w:szCs w:val="20"/>
              </w:rPr>
            </w:r>
            <w:r w:rsidR="001C5FEC" w:rsidRPr="001C5FEC">
              <w:rPr>
                <w:rFonts w:ascii="Arial" w:hAnsi="Arial" w:cs="Arial"/>
                <w:sz w:val="20"/>
                <w:szCs w:val="20"/>
              </w:rPr>
              <w:fldChar w:fldCharType="separate"/>
            </w:r>
            <w:r w:rsidRPr="001C5FEC">
              <w:rPr>
                <w:rFonts w:ascii="Arial" w:hAnsi="Arial" w:cs="Arial"/>
                <w:sz w:val="20"/>
                <w:szCs w:val="20"/>
              </w:rPr>
              <w:fldChar w:fldCharType="end"/>
            </w:r>
            <w:r w:rsidRPr="001C5FEC">
              <w:rPr>
                <w:rFonts w:ascii="Arial" w:hAnsi="Arial" w:cs="Arial"/>
                <w:sz w:val="20"/>
                <w:szCs w:val="20"/>
              </w:rPr>
              <w:t xml:space="preserve"> 20 pts</w:t>
            </w:r>
          </w:p>
          <w:p w:rsidR="00B458AC" w:rsidRPr="001C5FEC" w:rsidRDefault="00B458AC" w:rsidP="00B458AC">
            <w:pPr>
              <w:rPr>
                <w:rFonts w:ascii="Arial" w:hAnsi="Arial" w:cs="Arial"/>
                <w:sz w:val="20"/>
                <w:szCs w:val="20"/>
              </w:rPr>
            </w:pPr>
          </w:p>
        </w:tc>
        <w:tc>
          <w:tcPr>
            <w:tcW w:w="990" w:type="dxa"/>
            <w:vAlign w:val="center"/>
          </w:tcPr>
          <w:p w:rsidR="007D52B1" w:rsidRPr="001C5FEC" w:rsidRDefault="007D52B1" w:rsidP="00C56CE4">
            <w:pPr>
              <w:jc w:val="center"/>
              <w:rPr>
                <w:sz w:val="20"/>
                <w:szCs w:val="20"/>
              </w:rPr>
            </w:pPr>
            <w:r w:rsidRPr="001C5FEC">
              <w:rPr>
                <w:sz w:val="20"/>
                <w:szCs w:val="20"/>
              </w:rPr>
              <w:t>Up to 20</w:t>
            </w:r>
          </w:p>
        </w:tc>
        <w:tc>
          <w:tcPr>
            <w:tcW w:w="810" w:type="dxa"/>
          </w:tcPr>
          <w:p w:rsidR="007D52B1" w:rsidRPr="001C5FEC" w:rsidRDefault="007D52B1" w:rsidP="00C56CE4">
            <w:pPr>
              <w:rPr>
                <w:sz w:val="20"/>
                <w:szCs w:val="20"/>
              </w:rPr>
            </w:pPr>
          </w:p>
        </w:tc>
        <w:tc>
          <w:tcPr>
            <w:tcW w:w="813" w:type="dxa"/>
            <w:shd w:val="clear" w:color="auto" w:fill="D9D9D9" w:themeFill="background1" w:themeFillShade="D9"/>
          </w:tcPr>
          <w:p w:rsidR="007D52B1" w:rsidRPr="001C5FEC" w:rsidRDefault="007D52B1" w:rsidP="00C56CE4">
            <w:pPr>
              <w:rPr>
                <w:sz w:val="20"/>
                <w:szCs w:val="20"/>
              </w:rPr>
            </w:pPr>
          </w:p>
        </w:tc>
      </w:tr>
      <w:tr w:rsidR="00F97F13" w:rsidRPr="001C5FEC" w:rsidTr="00F97F13">
        <w:trPr>
          <w:trHeight w:val="819"/>
        </w:trPr>
        <w:tc>
          <w:tcPr>
            <w:tcW w:w="568" w:type="dxa"/>
          </w:tcPr>
          <w:p w:rsidR="007D52B1" w:rsidRPr="001C5FEC" w:rsidRDefault="007D52B1">
            <w:pPr>
              <w:rPr>
                <w:sz w:val="20"/>
                <w:szCs w:val="20"/>
              </w:rPr>
            </w:pPr>
          </w:p>
        </w:tc>
        <w:tc>
          <w:tcPr>
            <w:tcW w:w="6560" w:type="dxa"/>
            <w:vAlign w:val="center"/>
          </w:tcPr>
          <w:p w:rsidR="007D52B1" w:rsidRPr="001C5FEC" w:rsidRDefault="007D52B1" w:rsidP="00F519BD">
            <w:pPr>
              <w:pStyle w:val="ListParagraph"/>
              <w:ind w:left="0"/>
              <w:rPr>
                <w:rFonts w:ascii="Arial" w:hAnsi="Arial" w:cs="Arial"/>
                <w:sz w:val="20"/>
                <w:szCs w:val="20"/>
              </w:rPr>
            </w:pPr>
            <w:r w:rsidRPr="001C5FEC">
              <w:rPr>
                <w:rFonts w:ascii="Arial" w:hAnsi="Arial" w:cs="Arial"/>
                <w:sz w:val="20"/>
                <w:szCs w:val="20"/>
              </w:rPr>
              <w:t>Total Possible Points = 115</w:t>
            </w:r>
          </w:p>
          <w:p w:rsidR="007D52B1" w:rsidRPr="001C5FEC" w:rsidRDefault="007D52B1" w:rsidP="00F519BD">
            <w:pPr>
              <w:rPr>
                <w:rFonts w:ascii="Arial" w:hAnsi="Arial" w:cs="Arial"/>
                <w:sz w:val="20"/>
                <w:szCs w:val="20"/>
              </w:rPr>
            </w:pPr>
            <w:r w:rsidRPr="001C5FEC">
              <w:rPr>
                <w:rFonts w:ascii="Arial" w:hAnsi="Arial" w:cs="Arial"/>
                <w:b/>
                <w:sz w:val="20"/>
                <w:szCs w:val="20"/>
              </w:rPr>
              <w:t>Minimum Points Required = 40</w:t>
            </w:r>
          </w:p>
        </w:tc>
        <w:tc>
          <w:tcPr>
            <w:tcW w:w="990" w:type="dxa"/>
            <w:vAlign w:val="center"/>
          </w:tcPr>
          <w:p w:rsidR="007D52B1" w:rsidRPr="001C5FEC" w:rsidRDefault="003121E0" w:rsidP="003121E0">
            <w:pPr>
              <w:jc w:val="center"/>
              <w:rPr>
                <w:sz w:val="20"/>
                <w:szCs w:val="20"/>
              </w:rPr>
            </w:pPr>
            <w:r w:rsidRPr="001C5FEC">
              <w:rPr>
                <w:sz w:val="20"/>
                <w:szCs w:val="20"/>
              </w:rPr>
              <w:t>115</w:t>
            </w:r>
          </w:p>
        </w:tc>
        <w:tc>
          <w:tcPr>
            <w:tcW w:w="810" w:type="dxa"/>
          </w:tcPr>
          <w:p w:rsidR="007D52B1" w:rsidRPr="001C5FEC" w:rsidRDefault="007D52B1">
            <w:pPr>
              <w:rPr>
                <w:sz w:val="20"/>
                <w:szCs w:val="20"/>
              </w:rPr>
            </w:pPr>
          </w:p>
        </w:tc>
        <w:tc>
          <w:tcPr>
            <w:tcW w:w="813" w:type="dxa"/>
            <w:shd w:val="clear" w:color="auto" w:fill="D9D9D9" w:themeFill="background1" w:themeFillShade="D9"/>
          </w:tcPr>
          <w:p w:rsidR="007D52B1" w:rsidRPr="001C5FEC" w:rsidRDefault="007D52B1">
            <w:pPr>
              <w:rPr>
                <w:sz w:val="20"/>
                <w:szCs w:val="20"/>
              </w:rPr>
            </w:pPr>
          </w:p>
        </w:tc>
      </w:tr>
    </w:tbl>
    <w:p w:rsidR="00A25992" w:rsidRDefault="00A25992" w:rsidP="001C5FEC"/>
    <w:sectPr w:rsidR="00A25992" w:rsidSect="00F97F1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50" w:rsidRDefault="00332550" w:rsidP="007D52B1">
      <w:pPr>
        <w:spacing w:after="0" w:line="240" w:lineRule="auto"/>
      </w:pPr>
      <w:r>
        <w:separator/>
      </w:r>
    </w:p>
  </w:endnote>
  <w:endnote w:type="continuationSeparator" w:id="0">
    <w:p w:rsidR="00332550" w:rsidRDefault="00332550" w:rsidP="007D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50" w:rsidRDefault="00332550" w:rsidP="007D52B1">
      <w:pPr>
        <w:spacing w:after="0" w:line="240" w:lineRule="auto"/>
      </w:pPr>
      <w:r>
        <w:separator/>
      </w:r>
    </w:p>
  </w:footnote>
  <w:footnote w:type="continuationSeparator" w:id="0">
    <w:p w:rsidR="00332550" w:rsidRDefault="00332550" w:rsidP="007D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B1" w:rsidRPr="007D52B1" w:rsidRDefault="007D52B1" w:rsidP="007D52B1">
    <w:pPr>
      <w:tabs>
        <w:tab w:val="center" w:pos="4320"/>
        <w:tab w:val="right" w:pos="8640"/>
      </w:tabs>
      <w:spacing w:after="0" w:line="240" w:lineRule="auto"/>
      <w:jc w:val="center"/>
      <w:rPr>
        <w:rFonts w:ascii="Arial" w:eastAsia="Times New Roman" w:hAnsi="Arial" w:cs="Arial"/>
        <w:b/>
        <w:sz w:val="24"/>
        <w:szCs w:val="20"/>
      </w:rPr>
    </w:pPr>
  </w:p>
  <w:p w:rsidR="007D52B1" w:rsidRPr="007D52B1" w:rsidRDefault="007D52B1" w:rsidP="007D52B1">
    <w:pPr>
      <w:tabs>
        <w:tab w:val="center" w:pos="4320"/>
        <w:tab w:val="right" w:pos="8640"/>
      </w:tabs>
      <w:spacing w:after="0" w:line="240" w:lineRule="auto"/>
      <w:jc w:val="center"/>
      <w:rPr>
        <w:rFonts w:ascii="Arial" w:eastAsia="Times New Roman" w:hAnsi="Arial" w:cs="Arial"/>
        <w:b/>
        <w:sz w:val="24"/>
        <w:szCs w:val="20"/>
      </w:rPr>
    </w:pPr>
    <w:r w:rsidRPr="007D52B1">
      <w:rPr>
        <w:rFonts w:ascii="Arial" w:eastAsia="Times New Roman" w:hAnsi="Arial" w:cs="Arial"/>
        <w:b/>
        <w:sz w:val="24"/>
        <w:szCs w:val="20"/>
      </w:rPr>
      <w:t xml:space="preserve">MFA 2017 </w:t>
    </w:r>
  </w:p>
  <w:p w:rsidR="007D52B1" w:rsidRPr="007D52B1" w:rsidRDefault="007D52B1" w:rsidP="007D52B1">
    <w:pPr>
      <w:tabs>
        <w:tab w:val="center" w:pos="4320"/>
        <w:tab w:val="right" w:pos="8640"/>
      </w:tabs>
      <w:spacing w:after="0" w:line="240" w:lineRule="auto"/>
      <w:jc w:val="center"/>
      <w:rPr>
        <w:rFonts w:ascii="Arial" w:eastAsia="Times New Roman" w:hAnsi="Arial" w:cs="Arial"/>
        <w:b/>
        <w:sz w:val="24"/>
        <w:szCs w:val="20"/>
      </w:rPr>
    </w:pPr>
    <w:r w:rsidRPr="007D52B1">
      <w:rPr>
        <w:rFonts w:ascii="Arial" w:eastAsia="Times New Roman" w:hAnsi="Arial" w:cs="Arial"/>
        <w:b/>
        <w:sz w:val="24"/>
        <w:szCs w:val="20"/>
      </w:rPr>
      <w:t>National Housing Trust Fund Selection Criteria Scoring Worksheet</w:t>
    </w:r>
  </w:p>
  <w:p w:rsidR="007D52B1" w:rsidRPr="007D52B1" w:rsidRDefault="007D52B1" w:rsidP="007D52B1">
    <w:pPr>
      <w:tabs>
        <w:tab w:val="center" w:pos="4320"/>
        <w:tab w:val="right" w:pos="8640"/>
      </w:tabs>
      <w:spacing w:after="0" w:line="240" w:lineRule="auto"/>
      <w:jc w:val="center"/>
      <w:rPr>
        <w:rFonts w:ascii="Times New Roman" w:eastAsia="Times New Roman" w:hAnsi="Times New Roman" w:cs="Times New Roman"/>
        <w:b/>
        <w:sz w:val="16"/>
        <w:szCs w:val="20"/>
      </w:rPr>
    </w:pPr>
  </w:p>
  <w:p w:rsidR="007D52B1" w:rsidRPr="007D52B1" w:rsidRDefault="007D52B1" w:rsidP="007D52B1">
    <w:pPr>
      <w:tabs>
        <w:tab w:val="center" w:pos="4320"/>
        <w:tab w:val="right" w:pos="8640"/>
      </w:tabs>
      <w:spacing w:after="0" w:line="240" w:lineRule="auto"/>
      <w:jc w:val="center"/>
      <w:rPr>
        <w:rFonts w:ascii="Times New Roman" w:eastAsia="Times New Roman" w:hAnsi="Times New Roman" w:cs="Times New Roman"/>
        <w:sz w:val="24"/>
        <w:szCs w:val="24"/>
        <w:u w:val="single"/>
      </w:rPr>
    </w:pPr>
    <w:r w:rsidRPr="007D52B1">
      <w:rPr>
        <w:rFonts w:ascii="Arial" w:eastAsia="Times New Roman" w:hAnsi="Arial" w:cs="Arial"/>
        <w:b/>
        <w:sz w:val="24"/>
        <w:szCs w:val="20"/>
      </w:rPr>
      <w:t>Project Name</w:t>
    </w:r>
    <w:r w:rsidRPr="007D52B1">
      <w:rPr>
        <w:rFonts w:ascii="Times New Roman" w:eastAsia="Times New Roman" w:hAnsi="Times New Roman" w:cs="Times New Roman"/>
        <w:b/>
        <w:sz w:val="28"/>
        <w:szCs w:val="20"/>
      </w:rPr>
      <w:t xml:space="preserve">: </w:t>
    </w:r>
    <w:r w:rsidRPr="007D52B1">
      <w:rPr>
        <w:rFonts w:ascii="Times New Roman" w:eastAsia="Times New Roman" w:hAnsi="Times New Roman" w:cs="Times New Roman"/>
        <w:b/>
        <w:sz w:val="28"/>
        <w:szCs w:val="20"/>
        <w:u w:val="single"/>
      </w:rPr>
      <w:t xml:space="preserve">                 </w:t>
    </w:r>
    <w:r w:rsidRPr="007D52B1">
      <w:rPr>
        <w:rFonts w:ascii="Times New Roman" w:eastAsia="Times New Roman" w:hAnsi="Times New Roman" w:cs="Times New Roman"/>
        <w:b/>
        <w:sz w:val="24"/>
        <w:szCs w:val="24"/>
        <w:u w:val="single"/>
      </w:rPr>
      <w:tab/>
    </w:r>
  </w:p>
  <w:p w:rsidR="007D52B1" w:rsidRDefault="007D5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705B"/>
    <w:multiLevelType w:val="multilevel"/>
    <w:tmpl w:val="BF9EC7F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9EF152A"/>
    <w:multiLevelType w:val="hybridMultilevel"/>
    <w:tmpl w:val="7E4463BA"/>
    <w:lvl w:ilvl="0" w:tplc="54F0EA1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B1"/>
    <w:rsid w:val="001C5FEC"/>
    <w:rsid w:val="001D7187"/>
    <w:rsid w:val="003121E0"/>
    <w:rsid w:val="00332550"/>
    <w:rsid w:val="003533AF"/>
    <w:rsid w:val="005B37E9"/>
    <w:rsid w:val="007D52B1"/>
    <w:rsid w:val="00860CEC"/>
    <w:rsid w:val="009629D4"/>
    <w:rsid w:val="00A25992"/>
    <w:rsid w:val="00B458AC"/>
    <w:rsid w:val="00B54B45"/>
    <w:rsid w:val="00C56CE4"/>
    <w:rsid w:val="00C61980"/>
    <w:rsid w:val="00CC7034"/>
    <w:rsid w:val="00E64072"/>
    <w:rsid w:val="00EF1083"/>
    <w:rsid w:val="00F519BD"/>
    <w:rsid w:val="00F9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B1"/>
  </w:style>
  <w:style w:type="paragraph" w:styleId="Heading2">
    <w:name w:val="heading 2"/>
    <w:basedOn w:val="Normal"/>
    <w:next w:val="Normal"/>
    <w:link w:val="Heading2Char"/>
    <w:uiPriority w:val="9"/>
    <w:unhideWhenUsed/>
    <w:qFormat/>
    <w:rsid w:val="00B45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2B1"/>
  </w:style>
  <w:style w:type="paragraph" w:styleId="Footer">
    <w:name w:val="footer"/>
    <w:basedOn w:val="Normal"/>
    <w:link w:val="FooterChar"/>
    <w:uiPriority w:val="99"/>
    <w:unhideWhenUsed/>
    <w:rsid w:val="007D5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2B1"/>
  </w:style>
  <w:style w:type="paragraph" w:styleId="ListParagraph">
    <w:name w:val="List Paragraph"/>
    <w:basedOn w:val="Normal"/>
    <w:uiPriority w:val="34"/>
    <w:qFormat/>
    <w:rsid w:val="007D52B1"/>
    <w:pPr>
      <w:ind w:left="720"/>
      <w:contextualSpacing/>
    </w:pPr>
  </w:style>
  <w:style w:type="character" w:customStyle="1" w:styleId="Heading2Char">
    <w:name w:val="Heading 2 Char"/>
    <w:basedOn w:val="DefaultParagraphFont"/>
    <w:link w:val="Heading2"/>
    <w:uiPriority w:val="9"/>
    <w:rsid w:val="00B458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B1"/>
  </w:style>
  <w:style w:type="paragraph" w:styleId="Heading2">
    <w:name w:val="heading 2"/>
    <w:basedOn w:val="Normal"/>
    <w:next w:val="Normal"/>
    <w:link w:val="Heading2Char"/>
    <w:uiPriority w:val="9"/>
    <w:unhideWhenUsed/>
    <w:qFormat/>
    <w:rsid w:val="00B45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2B1"/>
  </w:style>
  <w:style w:type="paragraph" w:styleId="Footer">
    <w:name w:val="footer"/>
    <w:basedOn w:val="Normal"/>
    <w:link w:val="FooterChar"/>
    <w:uiPriority w:val="99"/>
    <w:unhideWhenUsed/>
    <w:rsid w:val="007D5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2B1"/>
  </w:style>
  <w:style w:type="paragraph" w:styleId="ListParagraph">
    <w:name w:val="List Paragraph"/>
    <w:basedOn w:val="Normal"/>
    <w:uiPriority w:val="34"/>
    <w:qFormat/>
    <w:rsid w:val="007D52B1"/>
    <w:pPr>
      <w:ind w:left="720"/>
      <w:contextualSpacing/>
    </w:pPr>
  </w:style>
  <w:style w:type="character" w:customStyle="1" w:styleId="Heading2Char">
    <w:name w:val="Heading 2 Char"/>
    <w:basedOn w:val="DefaultParagraphFont"/>
    <w:link w:val="Heading2"/>
    <w:uiPriority w:val="9"/>
    <w:rsid w:val="00B458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4960">
      <w:bodyDiv w:val="1"/>
      <w:marLeft w:val="0"/>
      <w:marRight w:val="0"/>
      <w:marTop w:val="0"/>
      <w:marBottom w:val="0"/>
      <w:divBdr>
        <w:top w:val="none" w:sz="0" w:space="0" w:color="auto"/>
        <w:left w:val="none" w:sz="0" w:space="0" w:color="auto"/>
        <w:bottom w:val="none" w:sz="0" w:space="0" w:color="auto"/>
        <w:right w:val="none" w:sz="0" w:space="0" w:color="auto"/>
      </w:divBdr>
    </w:div>
    <w:div w:id="441924852">
      <w:bodyDiv w:val="1"/>
      <w:marLeft w:val="0"/>
      <w:marRight w:val="0"/>
      <w:marTop w:val="0"/>
      <w:marBottom w:val="0"/>
      <w:divBdr>
        <w:top w:val="none" w:sz="0" w:space="0" w:color="auto"/>
        <w:left w:val="none" w:sz="0" w:space="0" w:color="auto"/>
        <w:bottom w:val="none" w:sz="0" w:space="0" w:color="auto"/>
        <w:right w:val="none" w:sz="0" w:space="0" w:color="auto"/>
      </w:divBdr>
    </w:div>
    <w:div w:id="447624878">
      <w:bodyDiv w:val="1"/>
      <w:marLeft w:val="0"/>
      <w:marRight w:val="0"/>
      <w:marTop w:val="0"/>
      <w:marBottom w:val="0"/>
      <w:divBdr>
        <w:top w:val="none" w:sz="0" w:space="0" w:color="auto"/>
        <w:left w:val="none" w:sz="0" w:space="0" w:color="auto"/>
        <w:bottom w:val="none" w:sz="0" w:space="0" w:color="auto"/>
        <w:right w:val="none" w:sz="0" w:space="0" w:color="auto"/>
      </w:divBdr>
    </w:div>
    <w:div w:id="587887111">
      <w:bodyDiv w:val="1"/>
      <w:marLeft w:val="0"/>
      <w:marRight w:val="0"/>
      <w:marTop w:val="0"/>
      <w:marBottom w:val="0"/>
      <w:divBdr>
        <w:top w:val="none" w:sz="0" w:space="0" w:color="auto"/>
        <w:left w:val="none" w:sz="0" w:space="0" w:color="auto"/>
        <w:bottom w:val="none" w:sz="0" w:space="0" w:color="auto"/>
        <w:right w:val="none" w:sz="0" w:space="0" w:color="auto"/>
      </w:divBdr>
    </w:div>
    <w:div w:id="691421606">
      <w:bodyDiv w:val="1"/>
      <w:marLeft w:val="0"/>
      <w:marRight w:val="0"/>
      <w:marTop w:val="0"/>
      <w:marBottom w:val="0"/>
      <w:divBdr>
        <w:top w:val="none" w:sz="0" w:space="0" w:color="auto"/>
        <w:left w:val="none" w:sz="0" w:space="0" w:color="auto"/>
        <w:bottom w:val="none" w:sz="0" w:space="0" w:color="auto"/>
        <w:right w:val="none" w:sz="0" w:space="0" w:color="auto"/>
      </w:divBdr>
    </w:div>
    <w:div w:id="771097112">
      <w:bodyDiv w:val="1"/>
      <w:marLeft w:val="0"/>
      <w:marRight w:val="0"/>
      <w:marTop w:val="0"/>
      <w:marBottom w:val="0"/>
      <w:divBdr>
        <w:top w:val="none" w:sz="0" w:space="0" w:color="auto"/>
        <w:left w:val="none" w:sz="0" w:space="0" w:color="auto"/>
        <w:bottom w:val="none" w:sz="0" w:space="0" w:color="auto"/>
        <w:right w:val="none" w:sz="0" w:space="0" w:color="auto"/>
      </w:divBdr>
    </w:div>
    <w:div w:id="935290728">
      <w:bodyDiv w:val="1"/>
      <w:marLeft w:val="0"/>
      <w:marRight w:val="0"/>
      <w:marTop w:val="0"/>
      <w:marBottom w:val="0"/>
      <w:divBdr>
        <w:top w:val="none" w:sz="0" w:space="0" w:color="auto"/>
        <w:left w:val="none" w:sz="0" w:space="0" w:color="auto"/>
        <w:bottom w:val="none" w:sz="0" w:space="0" w:color="auto"/>
        <w:right w:val="none" w:sz="0" w:space="0" w:color="auto"/>
      </w:divBdr>
    </w:div>
    <w:div w:id="946740420">
      <w:bodyDiv w:val="1"/>
      <w:marLeft w:val="0"/>
      <w:marRight w:val="0"/>
      <w:marTop w:val="0"/>
      <w:marBottom w:val="0"/>
      <w:divBdr>
        <w:top w:val="none" w:sz="0" w:space="0" w:color="auto"/>
        <w:left w:val="none" w:sz="0" w:space="0" w:color="auto"/>
        <w:bottom w:val="none" w:sz="0" w:space="0" w:color="auto"/>
        <w:right w:val="none" w:sz="0" w:space="0" w:color="auto"/>
      </w:divBdr>
    </w:div>
    <w:div w:id="1306012931">
      <w:bodyDiv w:val="1"/>
      <w:marLeft w:val="0"/>
      <w:marRight w:val="0"/>
      <w:marTop w:val="0"/>
      <w:marBottom w:val="0"/>
      <w:divBdr>
        <w:top w:val="none" w:sz="0" w:space="0" w:color="auto"/>
        <w:left w:val="none" w:sz="0" w:space="0" w:color="auto"/>
        <w:bottom w:val="none" w:sz="0" w:space="0" w:color="auto"/>
        <w:right w:val="none" w:sz="0" w:space="0" w:color="auto"/>
      </w:divBdr>
    </w:div>
    <w:div w:id="1462186617">
      <w:bodyDiv w:val="1"/>
      <w:marLeft w:val="0"/>
      <w:marRight w:val="0"/>
      <w:marTop w:val="0"/>
      <w:marBottom w:val="0"/>
      <w:divBdr>
        <w:top w:val="none" w:sz="0" w:space="0" w:color="auto"/>
        <w:left w:val="none" w:sz="0" w:space="0" w:color="auto"/>
        <w:bottom w:val="none" w:sz="0" w:space="0" w:color="auto"/>
        <w:right w:val="none" w:sz="0" w:space="0" w:color="auto"/>
      </w:divBdr>
    </w:div>
    <w:div w:id="1489010307">
      <w:bodyDiv w:val="1"/>
      <w:marLeft w:val="0"/>
      <w:marRight w:val="0"/>
      <w:marTop w:val="0"/>
      <w:marBottom w:val="0"/>
      <w:divBdr>
        <w:top w:val="none" w:sz="0" w:space="0" w:color="auto"/>
        <w:left w:val="none" w:sz="0" w:space="0" w:color="auto"/>
        <w:bottom w:val="none" w:sz="0" w:space="0" w:color="auto"/>
        <w:right w:val="none" w:sz="0" w:space="0" w:color="auto"/>
      </w:divBdr>
    </w:div>
    <w:div w:id="1909073142">
      <w:bodyDiv w:val="1"/>
      <w:marLeft w:val="0"/>
      <w:marRight w:val="0"/>
      <w:marTop w:val="0"/>
      <w:marBottom w:val="0"/>
      <w:divBdr>
        <w:top w:val="none" w:sz="0" w:space="0" w:color="auto"/>
        <w:left w:val="none" w:sz="0" w:space="0" w:color="auto"/>
        <w:bottom w:val="none" w:sz="0" w:space="0" w:color="auto"/>
        <w:right w:val="none" w:sz="0" w:space="0" w:color="auto"/>
      </w:divBdr>
    </w:div>
    <w:div w:id="2041319392">
      <w:bodyDiv w:val="1"/>
      <w:marLeft w:val="0"/>
      <w:marRight w:val="0"/>
      <w:marTop w:val="0"/>
      <w:marBottom w:val="0"/>
      <w:divBdr>
        <w:top w:val="none" w:sz="0" w:space="0" w:color="auto"/>
        <w:left w:val="none" w:sz="0" w:space="0" w:color="auto"/>
        <w:bottom w:val="none" w:sz="0" w:space="0" w:color="auto"/>
        <w:right w:val="none" w:sz="0" w:space="0" w:color="auto"/>
      </w:divBdr>
    </w:div>
    <w:div w:id="2069566109">
      <w:bodyDiv w:val="1"/>
      <w:marLeft w:val="0"/>
      <w:marRight w:val="0"/>
      <w:marTop w:val="0"/>
      <w:marBottom w:val="0"/>
      <w:divBdr>
        <w:top w:val="none" w:sz="0" w:space="0" w:color="auto"/>
        <w:left w:val="none" w:sz="0" w:space="0" w:color="auto"/>
        <w:bottom w:val="none" w:sz="0" w:space="0" w:color="auto"/>
        <w:right w:val="none" w:sz="0" w:space="0" w:color="auto"/>
      </w:divBdr>
    </w:div>
    <w:div w:id="21229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5185-28AD-486C-9A34-DC365A69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Sharlynn Lee</dc:creator>
  <cp:lastModifiedBy>Stacy Havens</cp:lastModifiedBy>
  <cp:revision>9</cp:revision>
  <dcterms:created xsi:type="dcterms:W3CDTF">2017-07-27T18:36:00Z</dcterms:created>
  <dcterms:modified xsi:type="dcterms:W3CDTF">2017-07-28T19:54:00Z</dcterms:modified>
</cp:coreProperties>
</file>