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61B23" w14:textId="458D0230" w:rsidR="006402EF" w:rsidRPr="009B58B9" w:rsidRDefault="00943952" w:rsidP="006402EF">
      <w:pPr>
        <w:jc w:val="center"/>
        <w:rPr>
          <w:sz w:val="40"/>
          <w:szCs w:val="40"/>
        </w:rPr>
      </w:pPr>
      <w:r w:rsidRPr="009B58B9">
        <w:rPr>
          <w:sz w:val="40"/>
          <w:szCs w:val="40"/>
        </w:rPr>
        <w:t>QAP Public Comment Responses</w:t>
      </w:r>
    </w:p>
    <w:sdt>
      <w:sdtPr>
        <w:rPr>
          <w:rFonts w:asciiTheme="minorHAnsi" w:eastAsiaTheme="minorHAnsi" w:hAnsiTheme="minorHAnsi" w:cstheme="minorBidi"/>
          <w:color w:val="auto"/>
          <w:sz w:val="22"/>
          <w:szCs w:val="22"/>
        </w:rPr>
        <w:id w:val="1251852873"/>
        <w:docPartObj>
          <w:docPartGallery w:val="Table of Contents"/>
          <w:docPartUnique/>
        </w:docPartObj>
      </w:sdtPr>
      <w:sdtEndPr>
        <w:rPr>
          <w:b/>
          <w:bCs/>
          <w:noProof/>
        </w:rPr>
      </w:sdtEndPr>
      <w:sdtContent>
        <w:p w14:paraId="6063996D" w14:textId="6EBCDC8E" w:rsidR="006402EF" w:rsidRDefault="006402EF" w:rsidP="006402EF">
          <w:pPr>
            <w:pStyle w:val="TOCHeading"/>
          </w:pPr>
          <w:r>
            <w:t>Table of Contents</w:t>
          </w:r>
        </w:p>
        <w:p w14:paraId="47D84470" w14:textId="5FFE5E0D" w:rsidR="00DB0E14" w:rsidRDefault="006402EF">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52954454" w:history="1">
            <w:r w:rsidR="00DB0E14" w:rsidRPr="00E015D5">
              <w:rPr>
                <w:rStyle w:val="Hyperlink"/>
                <w:b/>
                <w:bCs/>
                <w:noProof/>
              </w:rPr>
              <w:t>Carryover Requirements</w:t>
            </w:r>
            <w:r w:rsidR="00DB0E14">
              <w:rPr>
                <w:noProof/>
                <w:webHidden/>
              </w:rPr>
              <w:tab/>
            </w:r>
            <w:r w:rsidR="00DB0E14">
              <w:rPr>
                <w:noProof/>
                <w:webHidden/>
              </w:rPr>
              <w:fldChar w:fldCharType="begin"/>
            </w:r>
            <w:r w:rsidR="00DB0E14">
              <w:rPr>
                <w:noProof/>
                <w:webHidden/>
              </w:rPr>
              <w:instrText xml:space="preserve"> PAGEREF _Toc52954454 \h </w:instrText>
            </w:r>
            <w:r w:rsidR="00DB0E14">
              <w:rPr>
                <w:noProof/>
                <w:webHidden/>
              </w:rPr>
            </w:r>
            <w:r w:rsidR="00DB0E14">
              <w:rPr>
                <w:noProof/>
                <w:webHidden/>
              </w:rPr>
              <w:fldChar w:fldCharType="separate"/>
            </w:r>
            <w:r w:rsidR="00DB0E14">
              <w:rPr>
                <w:noProof/>
                <w:webHidden/>
              </w:rPr>
              <w:t>1</w:t>
            </w:r>
            <w:r w:rsidR="00DB0E14">
              <w:rPr>
                <w:noProof/>
                <w:webHidden/>
              </w:rPr>
              <w:fldChar w:fldCharType="end"/>
            </w:r>
          </w:hyperlink>
        </w:p>
        <w:p w14:paraId="4EC65E05" w14:textId="3FF2ED44" w:rsidR="00DB0E14" w:rsidRDefault="009B2D8F">
          <w:pPr>
            <w:pStyle w:val="TOC2"/>
            <w:tabs>
              <w:tab w:val="right" w:leader="dot" w:pos="9350"/>
            </w:tabs>
            <w:rPr>
              <w:rFonts w:eastAsiaTheme="minorEastAsia"/>
              <w:noProof/>
            </w:rPr>
          </w:pPr>
          <w:hyperlink w:anchor="_Toc52954455" w:history="1">
            <w:r w:rsidR="00DB0E14" w:rsidRPr="00E015D5">
              <w:rPr>
                <w:rStyle w:val="Hyperlink"/>
                <w:b/>
                <w:bCs/>
                <w:noProof/>
              </w:rPr>
              <w:t>Concerted Revitalization Plan</w:t>
            </w:r>
            <w:r w:rsidR="00DB0E14">
              <w:rPr>
                <w:noProof/>
                <w:webHidden/>
              </w:rPr>
              <w:tab/>
            </w:r>
            <w:r w:rsidR="00DB0E14">
              <w:rPr>
                <w:noProof/>
                <w:webHidden/>
              </w:rPr>
              <w:fldChar w:fldCharType="begin"/>
            </w:r>
            <w:r w:rsidR="00DB0E14">
              <w:rPr>
                <w:noProof/>
                <w:webHidden/>
              </w:rPr>
              <w:instrText xml:space="preserve"> PAGEREF _Toc52954455 \h </w:instrText>
            </w:r>
            <w:r w:rsidR="00DB0E14">
              <w:rPr>
                <w:noProof/>
                <w:webHidden/>
              </w:rPr>
            </w:r>
            <w:r w:rsidR="00DB0E14">
              <w:rPr>
                <w:noProof/>
                <w:webHidden/>
              </w:rPr>
              <w:fldChar w:fldCharType="separate"/>
            </w:r>
            <w:r w:rsidR="00DB0E14">
              <w:rPr>
                <w:noProof/>
                <w:webHidden/>
              </w:rPr>
              <w:t>1</w:t>
            </w:r>
            <w:r w:rsidR="00DB0E14">
              <w:rPr>
                <w:noProof/>
                <w:webHidden/>
              </w:rPr>
              <w:fldChar w:fldCharType="end"/>
            </w:r>
          </w:hyperlink>
        </w:p>
        <w:p w14:paraId="2B11BDC9" w14:textId="03FB89F6" w:rsidR="00DB0E14" w:rsidRDefault="009B2D8F">
          <w:pPr>
            <w:pStyle w:val="TOC2"/>
            <w:tabs>
              <w:tab w:val="right" w:leader="dot" w:pos="9350"/>
            </w:tabs>
            <w:rPr>
              <w:rFonts w:eastAsiaTheme="minorEastAsia"/>
              <w:noProof/>
            </w:rPr>
          </w:pPr>
          <w:hyperlink w:anchor="_Toc52954456" w:history="1">
            <w:r w:rsidR="00DB0E14" w:rsidRPr="00E015D5">
              <w:rPr>
                <w:rStyle w:val="Hyperlink"/>
                <w:b/>
                <w:bCs/>
                <w:noProof/>
              </w:rPr>
              <w:t>Cost Containment</w:t>
            </w:r>
            <w:r w:rsidR="00DB0E14">
              <w:rPr>
                <w:noProof/>
                <w:webHidden/>
              </w:rPr>
              <w:tab/>
            </w:r>
            <w:r w:rsidR="00DB0E14">
              <w:rPr>
                <w:noProof/>
                <w:webHidden/>
              </w:rPr>
              <w:fldChar w:fldCharType="begin"/>
            </w:r>
            <w:r w:rsidR="00DB0E14">
              <w:rPr>
                <w:noProof/>
                <w:webHidden/>
              </w:rPr>
              <w:instrText xml:space="preserve"> PAGEREF _Toc52954456 \h </w:instrText>
            </w:r>
            <w:r w:rsidR="00DB0E14">
              <w:rPr>
                <w:noProof/>
                <w:webHidden/>
              </w:rPr>
            </w:r>
            <w:r w:rsidR="00DB0E14">
              <w:rPr>
                <w:noProof/>
                <w:webHidden/>
              </w:rPr>
              <w:fldChar w:fldCharType="separate"/>
            </w:r>
            <w:r w:rsidR="00DB0E14">
              <w:rPr>
                <w:noProof/>
                <w:webHidden/>
              </w:rPr>
              <w:t>1</w:t>
            </w:r>
            <w:r w:rsidR="00DB0E14">
              <w:rPr>
                <w:noProof/>
                <w:webHidden/>
              </w:rPr>
              <w:fldChar w:fldCharType="end"/>
            </w:r>
          </w:hyperlink>
        </w:p>
        <w:p w14:paraId="62AA84EF" w14:textId="208B9C91" w:rsidR="00DB0E14" w:rsidRDefault="009B2D8F">
          <w:pPr>
            <w:pStyle w:val="TOC2"/>
            <w:tabs>
              <w:tab w:val="right" w:leader="dot" w:pos="9350"/>
            </w:tabs>
            <w:rPr>
              <w:rFonts w:eastAsiaTheme="minorEastAsia"/>
              <w:noProof/>
            </w:rPr>
          </w:pPr>
          <w:hyperlink w:anchor="_Toc52954457" w:history="1">
            <w:r w:rsidR="00DB0E14" w:rsidRPr="00E015D5">
              <w:rPr>
                <w:rStyle w:val="Hyperlink"/>
                <w:b/>
                <w:bCs/>
                <w:noProof/>
              </w:rPr>
              <w:t>Design Competition</w:t>
            </w:r>
            <w:r w:rsidR="00DB0E14">
              <w:rPr>
                <w:noProof/>
                <w:webHidden/>
              </w:rPr>
              <w:tab/>
            </w:r>
            <w:r w:rsidR="00DB0E14">
              <w:rPr>
                <w:noProof/>
                <w:webHidden/>
              </w:rPr>
              <w:fldChar w:fldCharType="begin"/>
            </w:r>
            <w:r w:rsidR="00DB0E14">
              <w:rPr>
                <w:noProof/>
                <w:webHidden/>
              </w:rPr>
              <w:instrText xml:space="preserve"> PAGEREF _Toc52954457 \h </w:instrText>
            </w:r>
            <w:r w:rsidR="00DB0E14">
              <w:rPr>
                <w:noProof/>
                <w:webHidden/>
              </w:rPr>
            </w:r>
            <w:r w:rsidR="00DB0E14">
              <w:rPr>
                <w:noProof/>
                <w:webHidden/>
              </w:rPr>
              <w:fldChar w:fldCharType="separate"/>
            </w:r>
            <w:r w:rsidR="00DB0E14">
              <w:rPr>
                <w:noProof/>
                <w:webHidden/>
              </w:rPr>
              <w:t>2</w:t>
            </w:r>
            <w:r w:rsidR="00DB0E14">
              <w:rPr>
                <w:noProof/>
                <w:webHidden/>
              </w:rPr>
              <w:fldChar w:fldCharType="end"/>
            </w:r>
          </w:hyperlink>
        </w:p>
        <w:p w14:paraId="42BAB883" w14:textId="52D2F057" w:rsidR="00DB0E14" w:rsidRDefault="009B2D8F">
          <w:pPr>
            <w:pStyle w:val="TOC2"/>
            <w:tabs>
              <w:tab w:val="right" w:leader="dot" w:pos="9350"/>
            </w:tabs>
            <w:rPr>
              <w:rFonts w:eastAsiaTheme="minorEastAsia"/>
              <w:noProof/>
            </w:rPr>
          </w:pPr>
          <w:hyperlink w:anchor="_Toc52954458" w:history="1">
            <w:r w:rsidR="00DB0E14" w:rsidRPr="00E015D5">
              <w:rPr>
                <w:rStyle w:val="Hyperlink"/>
                <w:b/>
                <w:bCs/>
                <w:noProof/>
              </w:rPr>
              <w:t>For-Profit</w:t>
            </w:r>
            <w:r w:rsidR="00DB0E14">
              <w:rPr>
                <w:noProof/>
                <w:webHidden/>
              </w:rPr>
              <w:tab/>
            </w:r>
            <w:r w:rsidR="00DB0E14">
              <w:rPr>
                <w:noProof/>
                <w:webHidden/>
              </w:rPr>
              <w:fldChar w:fldCharType="begin"/>
            </w:r>
            <w:r w:rsidR="00DB0E14">
              <w:rPr>
                <w:noProof/>
                <w:webHidden/>
              </w:rPr>
              <w:instrText xml:space="preserve"> PAGEREF _Toc52954458 \h </w:instrText>
            </w:r>
            <w:r w:rsidR="00DB0E14">
              <w:rPr>
                <w:noProof/>
                <w:webHidden/>
              </w:rPr>
            </w:r>
            <w:r w:rsidR="00DB0E14">
              <w:rPr>
                <w:noProof/>
                <w:webHidden/>
              </w:rPr>
              <w:fldChar w:fldCharType="separate"/>
            </w:r>
            <w:r w:rsidR="00DB0E14">
              <w:rPr>
                <w:noProof/>
                <w:webHidden/>
              </w:rPr>
              <w:t>2</w:t>
            </w:r>
            <w:r w:rsidR="00DB0E14">
              <w:rPr>
                <w:noProof/>
                <w:webHidden/>
              </w:rPr>
              <w:fldChar w:fldCharType="end"/>
            </w:r>
          </w:hyperlink>
        </w:p>
        <w:p w14:paraId="104564D1" w14:textId="26EB2504" w:rsidR="00DB0E14" w:rsidRDefault="009B2D8F">
          <w:pPr>
            <w:pStyle w:val="TOC2"/>
            <w:tabs>
              <w:tab w:val="right" w:leader="dot" w:pos="9350"/>
            </w:tabs>
            <w:rPr>
              <w:rFonts w:eastAsiaTheme="minorEastAsia"/>
              <w:noProof/>
            </w:rPr>
          </w:pPr>
          <w:hyperlink w:anchor="_Toc52954459" w:history="1">
            <w:r w:rsidR="00DB0E14" w:rsidRPr="00E015D5">
              <w:rPr>
                <w:rStyle w:val="Hyperlink"/>
                <w:rFonts w:eastAsia="Times New Roman"/>
                <w:b/>
                <w:bCs/>
                <w:noProof/>
              </w:rPr>
              <w:t>Green Building</w:t>
            </w:r>
            <w:r w:rsidR="00DB0E14">
              <w:rPr>
                <w:noProof/>
                <w:webHidden/>
              </w:rPr>
              <w:tab/>
            </w:r>
            <w:r w:rsidR="00DB0E14">
              <w:rPr>
                <w:noProof/>
                <w:webHidden/>
              </w:rPr>
              <w:fldChar w:fldCharType="begin"/>
            </w:r>
            <w:r w:rsidR="00DB0E14">
              <w:rPr>
                <w:noProof/>
                <w:webHidden/>
              </w:rPr>
              <w:instrText xml:space="preserve"> PAGEREF _Toc52954459 \h </w:instrText>
            </w:r>
            <w:r w:rsidR="00DB0E14">
              <w:rPr>
                <w:noProof/>
                <w:webHidden/>
              </w:rPr>
            </w:r>
            <w:r w:rsidR="00DB0E14">
              <w:rPr>
                <w:noProof/>
                <w:webHidden/>
              </w:rPr>
              <w:fldChar w:fldCharType="separate"/>
            </w:r>
            <w:r w:rsidR="00DB0E14">
              <w:rPr>
                <w:noProof/>
                <w:webHidden/>
              </w:rPr>
              <w:t>3</w:t>
            </w:r>
            <w:r w:rsidR="00DB0E14">
              <w:rPr>
                <w:noProof/>
                <w:webHidden/>
              </w:rPr>
              <w:fldChar w:fldCharType="end"/>
            </w:r>
          </w:hyperlink>
        </w:p>
        <w:p w14:paraId="513956A1" w14:textId="794B5057" w:rsidR="00DB0E14" w:rsidRDefault="009B2D8F">
          <w:pPr>
            <w:pStyle w:val="TOC2"/>
            <w:tabs>
              <w:tab w:val="right" w:leader="dot" w:pos="9350"/>
            </w:tabs>
            <w:rPr>
              <w:rFonts w:eastAsiaTheme="minorEastAsia"/>
              <w:noProof/>
            </w:rPr>
          </w:pPr>
          <w:hyperlink w:anchor="_Toc52954460" w:history="1">
            <w:r w:rsidR="00DB0E14" w:rsidRPr="00E015D5">
              <w:rPr>
                <w:rStyle w:val="Hyperlink"/>
                <w:b/>
                <w:bCs/>
                <w:noProof/>
              </w:rPr>
              <w:t>Low Income Focus</w:t>
            </w:r>
            <w:r w:rsidR="00DB0E14">
              <w:rPr>
                <w:noProof/>
                <w:webHidden/>
              </w:rPr>
              <w:tab/>
            </w:r>
            <w:r w:rsidR="00DB0E14">
              <w:rPr>
                <w:noProof/>
                <w:webHidden/>
              </w:rPr>
              <w:fldChar w:fldCharType="begin"/>
            </w:r>
            <w:r w:rsidR="00DB0E14">
              <w:rPr>
                <w:noProof/>
                <w:webHidden/>
              </w:rPr>
              <w:instrText xml:space="preserve"> PAGEREF _Toc52954460 \h </w:instrText>
            </w:r>
            <w:r w:rsidR="00DB0E14">
              <w:rPr>
                <w:noProof/>
                <w:webHidden/>
              </w:rPr>
            </w:r>
            <w:r w:rsidR="00DB0E14">
              <w:rPr>
                <w:noProof/>
                <w:webHidden/>
              </w:rPr>
              <w:fldChar w:fldCharType="separate"/>
            </w:r>
            <w:r w:rsidR="00DB0E14">
              <w:rPr>
                <w:noProof/>
                <w:webHidden/>
              </w:rPr>
              <w:t>3</w:t>
            </w:r>
            <w:r w:rsidR="00DB0E14">
              <w:rPr>
                <w:noProof/>
                <w:webHidden/>
              </w:rPr>
              <w:fldChar w:fldCharType="end"/>
            </w:r>
          </w:hyperlink>
        </w:p>
        <w:p w14:paraId="1FBD3AE1" w14:textId="51B4FB34" w:rsidR="00DB0E14" w:rsidRDefault="009B2D8F">
          <w:pPr>
            <w:pStyle w:val="TOC2"/>
            <w:tabs>
              <w:tab w:val="right" w:leader="dot" w:pos="9350"/>
            </w:tabs>
            <w:rPr>
              <w:rFonts w:eastAsiaTheme="minorEastAsia"/>
              <w:noProof/>
            </w:rPr>
          </w:pPr>
          <w:hyperlink w:anchor="_Toc52954461" w:history="1">
            <w:r w:rsidR="00DB0E14" w:rsidRPr="00E015D5">
              <w:rPr>
                <w:rStyle w:val="Hyperlink"/>
                <w:rFonts w:eastAsia="Times New Roman"/>
                <w:b/>
                <w:bCs/>
                <w:noProof/>
              </w:rPr>
              <w:t>LURA and Limited Partner</w:t>
            </w:r>
            <w:r w:rsidR="00DB0E14">
              <w:rPr>
                <w:noProof/>
                <w:webHidden/>
              </w:rPr>
              <w:tab/>
            </w:r>
            <w:r w:rsidR="00DB0E14">
              <w:rPr>
                <w:noProof/>
                <w:webHidden/>
              </w:rPr>
              <w:fldChar w:fldCharType="begin"/>
            </w:r>
            <w:r w:rsidR="00DB0E14">
              <w:rPr>
                <w:noProof/>
                <w:webHidden/>
              </w:rPr>
              <w:instrText xml:space="preserve"> PAGEREF _Toc52954461 \h </w:instrText>
            </w:r>
            <w:r w:rsidR="00DB0E14">
              <w:rPr>
                <w:noProof/>
                <w:webHidden/>
              </w:rPr>
            </w:r>
            <w:r w:rsidR="00DB0E14">
              <w:rPr>
                <w:noProof/>
                <w:webHidden/>
              </w:rPr>
              <w:fldChar w:fldCharType="separate"/>
            </w:r>
            <w:r w:rsidR="00DB0E14">
              <w:rPr>
                <w:noProof/>
                <w:webHidden/>
              </w:rPr>
              <w:t>3</w:t>
            </w:r>
            <w:r w:rsidR="00DB0E14">
              <w:rPr>
                <w:noProof/>
                <w:webHidden/>
              </w:rPr>
              <w:fldChar w:fldCharType="end"/>
            </w:r>
          </w:hyperlink>
        </w:p>
        <w:p w14:paraId="39887BCB" w14:textId="06008FC1" w:rsidR="00DB0E14" w:rsidRDefault="009B2D8F">
          <w:pPr>
            <w:pStyle w:val="TOC2"/>
            <w:tabs>
              <w:tab w:val="right" w:leader="dot" w:pos="9350"/>
            </w:tabs>
            <w:rPr>
              <w:rFonts w:eastAsiaTheme="minorEastAsia"/>
              <w:noProof/>
            </w:rPr>
          </w:pPr>
          <w:hyperlink w:anchor="_Toc52954462" w:history="1">
            <w:r w:rsidR="00DB0E14" w:rsidRPr="00E015D5">
              <w:rPr>
                <w:rStyle w:val="Hyperlink"/>
                <w:b/>
                <w:bCs/>
                <w:noProof/>
              </w:rPr>
              <w:t>Market Study</w:t>
            </w:r>
            <w:r w:rsidR="00DB0E14">
              <w:rPr>
                <w:noProof/>
                <w:webHidden/>
              </w:rPr>
              <w:tab/>
            </w:r>
            <w:r w:rsidR="00DB0E14">
              <w:rPr>
                <w:noProof/>
                <w:webHidden/>
              </w:rPr>
              <w:fldChar w:fldCharType="begin"/>
            </w:r>
            <w:r w:rsidR="00DB0E14">
              <w:rPr>
                <w:noProof/>
                <w:webHidden/>
              </w:rPr>
              <w:instrText xml:space="preserve"> PAGEREF _Toc52954462 \h </w:instrText>
            </w:r>
            <w:r w:rsidR="00DB0E14">
              <w:rPr>
                <w:noProof/>
                <w:webHidden/>
              </w:rPr>
            </w:r>
            <w:r w:rsidR="00DB0E14">
              <w:rPr>
                <w:noProof/>
                <w:webHidden/>
              </w:rPr>
              <w:fldChar w:fldCharType="separate"/>
            </w:r>
            <w:r w:rsidR="00DB0E14">
              <w:rPr>
                <w:noProof/>
                <w:webHidden/>
              </w:rPr>
              <w:t>3</w:t>
            </w:r>
            <w:r w:rsidR="00DB0E14">
              <w:rPr>
                <w:noProof/>
                <w:webHidden/>
              </w:rPr>
              <w:fldChar w:fldCharType="end"/>
            </w:r>
          </w:hyperlink>
        </w:p>
        <w:p w14:paraId="4401DB1C" w14:textId="4AD3A08F" w:rsidR="00DB0E14" w:rsidRDefault="009B2D8F">
          <w:pPr>
            <w:pStyle w:val="TOC2"/>
            <w:tabs>
              <w:tab w:val="right" w:leader="dot" w:pos="9350"/>
            </w:tabs>
            <w:rPr>
              <w:rFonts w:eastAsiaTheme="minorEastAsia"/>
              <w:noProof/>
            </w:rPr>
          </w:pPr>
          <w:hyperlink w:anchor="_Toc52954463" w:history="1">
            <w:r w:rsidR="00DB0E14" w:rsidRPr="00E015D5">
              <w:rPr>
                <w:rStyle w:val="Hyperlink"/>
                <w:b/>
                <w:bCs/>
                <w:noProof/>
              </w:rPr>
              <w:t>Market Study /Timeline</w:t>
            </w:r>
            <w:r w:rsidR="00DB0E14">
              <w:rPr>
                <w:noProof/>
                <w:webHidden/>
              </w:rPr>
              <w:tab/>
            </w:r>
            <w:r w:rsidR="00DB0E14">
              <w:rPr>
                <w:noProof/>
                <w:webHidden/>
              </w:rPr>
              <w:fldChar w:fldCharType="begin"/>
            </w:r>
            <w:r w:rsidR="00DB0E14">
              <w:rPr>
                <w:noProof/>
                <w:webHidden/>
              </w:rPr>
              <w:instrText xml:space="preserve"> PAGEREF _Toc52954463 \h </w:instrText>
            </w:r>
            <w:r w:rsidR="00DB0E14">
              <w:rPr>
                <w:noProof/>
                <w:webHidden/>
              </w:rPr>
            </w:r>
            <w:r w:rsidR="00DB0E14">
              <w:rPr>
                <w:noProof/>
                <w:webHidden/>
              </w:rPr>
              <w:fldChar w:fldCharType="separate"/>
            </w:r>
            <w:r w:rsidR="00DB0E14">
              <w:rPr>
                <w:noProof/>
                <w:webHidden/>
              </w:rPr>
              <w:t>4</w:t>
            </w:r>
            <w:r w:rsidR="00DB0E14">
              <w:rPr>
                <w:noProof/>
                <w:webHidden/>
              </w:rPr>
              <w:fldChar w:fldCharType="end"/>
            </w:r>
          </w:hyperlink>
        </w:p>
        <w:p w14:paraId="163F9C23" w14:textId="34EA27BC" w:rsidR="00DB0E14" w:rsidRDefault="009B2D8F">
          <w:pPr>
            <w:pStyle w:val="TOC2"/>
            <w:tabs>
              <w:tab w:val="right" w:leader="dot" w:pos="9350"/>
            </w:tabs>
            <w:rPr>
              <w:rFonts w:eastAsiaTheme="minorEastAsia"/>
              <w:noProof/>
            </w:rPr>
          </w:pPr>
          <w:hyperlink w:anchor="_Toc52954464" w:history="1">
            <w:r w:rsidR="00DB0E14" w:rsidRPr="00E015D5">
              <w:rPr>
                <w:rStyle w:val="Hyperlink"/>
                <w:rFonts w:eastAsia="Times New Roman"/>
                <w:b/>
                <w:bCs/>
                <w:noProof/>
              </w:rPr>
              <w:t>NC/Rehab</w:t>
            </w:r>
            <w:r w:rsidR="00DB0E14">
              <w:rPr>
                <w:noProof/>
                <w:webHidden/>
              </w:rPr>
              <w:tab/>
            </w:r>
            <w:r w:rsidR="00DB0E14">
              <w:rPr>
                <w:noProof/>
                <w:webHidden/>
              </w:rPr>
              <w:fldChar w:fldCharType="begin"/>
            </w:r>
            <w:r w:rsidR="00DB0E14">
              <w:rPr>
                <w:noProof/>
                <w:webHidden/>
              </w:rPr>
              <w:instrText xml:space="preserve"> PAGEREF _Toc52954464 \h </w:instrText>
            </w:r>
            <w:r w:rsidR="00DB0E14">
              <w:rPr>
                <w:noProof/>
                <w:webHidden/>
              </w:rPr>
            </w:r>
            <w:r w:rsidR="00DB0E14">
              <w:rPr>
                <w:noProof/>
                <w:webHidden/>
              </w:rPr>
              <w:fldChar w:fldCharType="separate"/>
            </w:r>
            <w:r w:rsidR="00DB0E14">
              <w:rPr>
                <w:noProof/>
                <w:webHidden/>
              </w:rPr>
              <w:t>4</w:t>
            </w:r>
            <w:r w:rsidR="00DB0E14">
              <w:rPr>
                <w:noProof/>
                <w:webHidden/>
              </w:rPr>
              <w:fldChar w:fldCharType="end"/>
            </w:r>
          </w:hyperlink>
        </w:p>
        <w:p w14:paraId="2155B1D3" w14:textId="121A6CE9" w:rsidR="00DB0E14" w:rsidRDefault="009B2D8F">
          <w:pPr>
            <w:pStyle w:val="TOC2"/>
            <w:tabs>
              <w:tab w:val="right" w:leader="dot" w:pos="9350"/>
            </w:tabs>
            <w:rPr>
              <w:rFonts w:eastAsiaTheme="minorEastAsia"/>
              <w:noProof/>
            </w:rPr>
          </w:pPr>
          <w:hyperlink w:anchor="_Toc52954465" w:history="1">
            <w:r w:rsidR="00DB0E14" w:rsidRPr="00E015D5">
              <w:rPr>
                <w:rStyle w:val="Hyperlink"/>
                <w:b/>
                <w:bCs/>
                <w:noProof/>
              </w:rPr>
              <w:t>Rural Development</w:t>
            </w:r>
            <w:r w:rsidR="00DB0E14">
              <w:rPr>
                <w:noProof/>
                <w:webHidden/>
              </w:rPr>
              <w:tab/>
            </w:r>
            <w:r w:rsidR="00DB0E14">
              <w:rPr>
                <w:noProof/>
                <w:webHidden/>
              </w:rPr>
              <w:fldChar w:fldCharType="begin"/>
            </w:r>
            <w:r w:rsidR="00DB0E14">
              <w:rPr>
                <w:noProof/>
                <w:webHidden/>
              </w:rPr>
              <w:instrText xml:space="preserve"> PAGEREF _Toc52954465 \h </w:instrText>
            </w:r>
            <w:r w:rsidR="00DB0E14">
              <w:rPr>
                <w:noProof/>
                <w:webHidden/>
              </w:rPr>
            </w:r>
            <w:r w:rsidR="00DB0E14">
              <w:rPr>
                <w:noProof/>
                <w:webHidden/>
              </w:rPr>
              <w:fldChar w:fldCharType="separate"/>
            </w:r>
            <w:r w:rsidR="00DB0E14">
              <w:rPr>
                <w:noProof/>
                <w:webHidden/>
              </w:rPr>
              <w:t>4</w:t>
            </w:r>
            <w:r w:rsidR="00DB0E14">
              <w:rPr>
                <w:noProof/>
                <w:webHidden/>
              </w:rPr>
              <w:fldChar w:fldCharType="end"/>
            </w:r>
          </w:hyperlink>
        </w:p>
        <w:p w14:paraId="6F93AD96" w14:textId="795E4849" w:rsidR="00DB0E14" w:rsidRDefault="009B2D8F">
          <w:pPr>
            <w:pStyle w:val="TOC2"/>
            <w:tabs>
              <w:tab w:val="right" w:leader="dot" w:pos="9350"/>
            </w:tabs>
            <w:rPr>
              <w:rFonts w:eastAsiaTheme="minorEastAsia"/>
              <w:noProof/>
            </w:rPr>
          </w:pPr>
          <w:hyperlink w:anchor="_Toc52954466" w:history="1">
            <w:r w:rsidR="00DB0E14" w:rsidRPr="00E015D5">
              <w:rPr>
                <w:rStyle w:val="Hyperlink"/>
                <w:b/>
                <w:bCs/>
                <w:noProof/>
              </w:rPr>
              <w:t>Set-Aside</w:t>
            </w:r>
            <w:r w:rsidR="00DB0E14">
              <w:rPr>
                <w:noProof/>
                <w:webHidden/>
              </w:rPr>
              <w:tab/>
            </w:r>
            <w:r w:rsidR="00DB0E14">
              <w:rPr>
                <w:noProof/>
                <w:webHidden/>
              </w:rPr>
              <w:fldChar w:fldCharType="begin"/>
            </w:r>
            <w:r w:rsidR="00DB0E14">
              <w:rPr>
                <w:noProof/>
                <w:webHidden/>
              </w:rPr>
              <w:instrText xml:space="preserve"> PAGEREF _Toc52954466 \h </w:instrText>
            </w:r>
            <w:r w:rsidR="00DB0E14">
              <w:rPr>
                <w:noProof/>
                <w:webHidden/>
              </w:rPr>
            </w:r>
            <w:r w:rsidR="00DB0E14">
              <w:rPr>
                <w:noProof/>
                <w:webHidden/>
              </w:rPr>
              <w:fldChar w:fldCharType="separate"/>
            </w:r>
            <w:r w:rsidR="00DB0E14">
              <w:rPr>
                <w:noProof/>
                <w:webHidden/>
              </w:rPr>
              <w:t>5</w:t>
            </w:r>
            <w:r w:rsidR="00DB0E14">
              <w:rPr>
                <w:noProof/>
                <w:webHidden/>
              </w:rPr>
              <w:fldChar w:fldCharType="end"/>
            </w:r>
          </w:hyperlink>
        </w:p>
        <w:p w14:paraId="0F774DB4" w14:textId="6361EEEC" w:rsidR="00DB0E14" w:rsidRDefault="009B2D8F">
          <w:pPr>
            <w:pStyle w:val="TOC2"/>
            <w:tabs>
              <w:tab w:val="right" w:leader="dot" w:pos="9350"/>
            </w:tabs>
            <w:rPr>
              <w:rFonts w:eastAsiaTheme="minorEastAsia"/>
              <w:noProof/>
            </w:rPr>
          </w:pPr>
          <w:hyperlink w:anchor="_Toc52954467" w:history="1">
            <w:r w:rsidR="00DB0E14" w:rsidRPr="00E015D5">
              <w:rPr>
                <w:rStyle w:val="Hyperlink"/>
                <w:b/>
                <w:bCs/>
                <w:noProof/>
              </w:rPr>
              <w:t>Sustaining Affordability</w:t>
            </w:r>
            <w:r w:rsidR="00DB0E14">
              <w:rPr>
                <w:noProof/>
                <w:webHidden/>
              </w:rPr>
              <w:tab/>
            </w:r>
            <w:r w:rsidR="00DB0E14">
              <w:rPr>
                <w:noProof/>
                <w:webHidden/>
              </w:rPr>
              <w:fldChar w:fldCharType="begin"/>
            </w:r>
            <w:r w:rsidR="00DB0E14">
              <w:rPr>
                <w:noProof/>
                <w:webHidden/>
              </w:rPr>
              <w:instrText xml:space="preserve"> PAGEREF _Toc52954467 \h </w:instrText>
            </w:r>
            <w:r w:rsidR="00DB0E14">
              <w:rPr>
                <w:noProof/>
                <w:webHidden/>
              </w:rPr>
            </w:r>
            <w:r w:rsidR="00DB0E14">
              <w:rPr>
                <w:noProof/>
                <w:webHidden/>
              </w:rPr>
              <w:fldChar w:fldCharType="separate"/>
            </w:r>
            <w:r w:rsidR="00DB0E14">
              <w:rPr>
                <w:noProof/>
                <w:webHidden/>
              </w:rPr>
              <w:t>5</w:t>
            </w:r>
            <w:r w:rsidR="00DB0E14">
              <w:rPr>
                <w:noProof/>
                <w:webHidden/>
              </w:rPr>
              <w:fldChar w:fldCharType="end"/>
            </w:r>
          </w:hyperlink>
        </w:p>
        <w:p w14:paraId="6EECAFC1" w14:textId="0433499D" w:rsidR="00DB0E14" w:rsidRDefault="009B2D8F">
          <w:pPr>
            <w:pStyle w:val="TOC2"/>
            <w:tabs>
              <w:tab w:val="right" w:leader="dot" w:pos="9350"/>
            </w:tabs>
            <w:rPr>
              <w:rFonts w:eastAsiaTheme="minorEastAsia"/>
              <w:noProof/>
            </w:rPr>
          </w:pPr>
          <w:hyperlink w:anchor="_Toc52954468" w:history="1">
            <w:r w:rsidR="00DB0E14" w:rsidRPr="00E015D5">
              <w:rPr>
                <w:rStyle w:val="Hyperlink"/>
                <w:rFonts w:eastAsia="Times New Roman"/>
                <w:b/>
                <w:bCs/>
                <w:noProof/>
              </w:rPr>
              <w:t>Timeline</w:t>
            </w:r>
            <w:r w:rsidR="00DB0E14">
              <w:rPr>
                <w:noProof/>
                <w:webHidden/>
              </w:rPr>
              <w:tab/>
            </w:r>
            <w:r w:rsidR="00DB0E14">
              <w:rPr>
                <w:noProof/>
                <w:webHidden/>
              </w:rPr>
              <w:fldChar w:fldCharType="begin"/>
            </w:r>
            <w:r w:rsidR="00DB0E14">
              <w:rPr>
                <w:noProof/>
                <w:webHidden/>
              </w:rPr>
              <w:instrText xml:space="preserve"> PAGEREF _Toc52954468 \h </w:instrText>
            </w:r>
            <w:r w:rsidR="00DB0E14">
              <w:rPr>
                <w:noProof/>
                <w:webHidden/>
              </w:rPr>
            </w:r>
            <w:r w:rsidR="00DB0E14">
              <w:rPr>
                <w:noProof/>
                <w:webHidden/>
              </w:rPr>
              <w:fldChar w:fldCharType="separate"/>
            </w:r>
            <w:r w:rsidR="00DB0E14">
              <w:rPr>
                <w:noProof/>
                <w:webHidden/>
              </w:rPr>
              <w:t>5</w:t>
            </w:r>
            <w:r w:rsidR="00DB0E14">
              <w:rPr>
                <w:noProof/>
                <w:webHidden/>
              </w:rPr>
              <w:fldChar w:fldCharType="end"/>
            </w:r>
          </w:hyperlink>
        </w:p>
        <w:p w14:paraId="16165D14" w14:textId="091F7641" w:rsidR="006402EF" w:rsidRDefault="006402EF">
          <w:r>
            <w:rPr>
              <w:b/>
              <w:bCs/>
              <w:noProof/>
            </w:rPr>
            <w:fldChar w:fldCharType="end"/>
          </w:r>
        </w:p>
      </w:sdtContent>
    </w:sdt>
    <w:p w14:paraId="3358B23C" w14:textId="0853A251" w:rsidR="00943952" w:rsidRPr="00F642D5" w:rsidRDefault="00943952" w:rsidP="00943952">
      <w:pPr>
        <w:pStyle w:val="Heading2"/>
        <w:rPr>
          <w:b/>
          <w:bCs/>
        </w:rPr>
      </w:pPr>
      <w:bookmarkStart w:id="0" w:name="_Toc52954454"/>
      <w:r w:rsidRPr="00F642D5">
        <w:rPr>
          <w:b/>
          <w:bCs/>
        </w:rPr>
        <w:t>Carryover Requirements</w:t>
      </w:r>
      <w:bookmarkEnd w:id="0"/>
    </w:p>
    <w:p w14:paraId="0B86A13F" w14:textId="188FC6F8" w:rsidR="00943952" w:rsidRDefault="002A7722" w:rsidP="00943952">
      <w:r w:rsidRPr="002B0DF1">
        <w:rPr>
          <w:b/>
          <w:bCs/>
        </w:rPr>
        <w:t>Comment</w:t>
      </w:r>
      <w:r>
        <w:t>: H</w:t>
      </w:r>
      <w:r w:rsidR="00A61A09">
        <w:t xml:space="preserve">aving a deed or long-term lease for a property is a difficult requirement to meet carryover. </w:t>
      </w:r>
    </w:p>
    <w:p w14:paraId="3901BD1E" w14:textId="3CADDE48" w:rsidR="00A61A09" w:rsidRDefault="002A7722" w:rsidP="00943952">
      <w:r w:rsidRPr="002B0DF1">
        <w:t>Response</w:t>
      </w:r>
      <w:r>
        <w:t>:</w:t>
      </w:r>
      <w:r w:rsidR="00A61A09">
        <w:t xml:space="preserve"> </w:t>
      </w:r>
      <w:r w:rsidR="00545192">
        <w:t xml:space="preserve">This change </w:t>
      </w:r>
      <w:r w:rsidR="00214B82">
        <w:t>has</w:t>
      </w:r>
      <w:r w:rsidR="00545192">
        <w:t xml:space="preserve"> be</w:t>
      </w:r>
      <w:r w:rsidR="00214B82">
        <w:t>en</w:t>
      </w:r>
      <w:r w:rsidR="00545192">
        <w:t xml:space="preserve"> made</w:t>
      </w:r>
      <w:r w:rsidR="00214B82">
        <w:t xml:space="preserve"> in the 2021 QAP</w:t>
      </w:r>
      <w:r w:rsidR="00545192">
        <w:t>. The</w:t>
      </w:r>
      <w:r w:rsidR="00C67E9F">
        <w:t xml:space="preserve"> requirement to </w:t>
      </w:r>
      <w:r w:rsidR="00545192">
        <w:t>submit</w:t>
      </w:r>
      <w:r w:rsidR="00C67E9F">
        <w:t xml:space="preserve"> a deed or long-term lease </w:t>
      </w:r>
      <w:r w:rsidR="00545192">
        <w:t xml:space="preserve">will now be required </w:t>
      </w:r>
      <w:r w:rsidR="00C67E9F">
        <w:t xml:space="preserve">alongside those materials </w:t>
      </w:r>
      <w:r w:rsidR="00545192">
        <w:t>needed</w:t>
      </w:r>
      <w:r w:rsidR="00C67E9F">
        <w:t xml:space="preserve"> to pass the “10% test” on August 31</w:t>
      </w:r>
      <w:r w:rsidR="00C67E9F" w:rsidRPr="00C67E9F">
        <w:rPr>
          <w:vertAlign w:val="superscript"/>
        </w:rPr>
        <w:t>st</w:t>
      </w:r>
      <w:r w:rsidR="00C67E9F">
        <w:t xml:space="preserve"> of the year following the </w:t>
      </w:r>
      <w:r w:rsidR="00B0618F">
        <w:t>reservation</w:t>
      </w:r>
      <w:r w:rsidR="00C67E9F">
        <w:t>.</w:t>
      </w:r>
    </w:p>
    <w:p w14:paraId="53795987" w14:textId="626FCEB5" w:rsidR="008F2E90" w:rsidRPr="00F642D5" w:rsidRDefault="00BB05AB" w:rsidP="00BB05AB">
      <w:pPr>
        <w:pStyle w:val="Heading2"/>
        <w:rPr>
          <w:b/>
          <w:bCs/>
        </w:rPr>
      </w:pPr>
      <w:bookmarkStart w:id="1" w:name="_Toc52954455"/>
      <w:r w:rsidRPr="00F642D5">
        <w:rPr>
          <w:b/>
          <w:bCs/>
        </w:rPr>
        <w:t>Concerted Revitalization Plan</w:t>
      </w:r>
      <w:bookmarkEnd w:id="1"/>
    </w:p>
    <w:p w14:paraId="7659F3DB" w14:textId="2C119E6D" w:rsidR="00BB05AB" w:rsidRDefault="002A7722" w:rsidP="00BB05AB">
      <w:r w:rsidRPr="002B0DF1">
        <w:rPr>
          <w:b/>
          <w:bCs/>
        </w:rPr>
        <w:t>Comment</w:t>
      </w:r>
      <w:r>
        <w:t xml:space="preserve">: </w:t>
      </w:r>
      <w:r w:rsidR="00BB05AB">
        <w:t xml:space="preserve"> </w:t>
      </w:r>
      <w:r w:rsidR="002B0DF1">
        <w:t>P</w:t>
      </w:r>
      <w:r w:rsidR="00BB05AB">
        <w:t>lans beyond</w:t>
      </w:r>
      <w:r w:rsidR="00B0618F">
        <w:t xml:space="preserve"> NM MainStreets and</w:t>
      </w:r>
      <w:r w:rsidR="00BB05AB">
        <w:t xml:space="preserve"> </w:t>
      </w:r>
      <w:r w:rsidR="00A41A4B">
        <w:t>M</w:t>
      </w:r>
      <w:r w:rsidR="00BB05AB">
        <w:t xml:space="preserve">etropolitan </w:t>
      </w:r>
      <w:r w:rsidR="00A41A4B">
        <w:t>R</w:t>
      </w:r>
      <w:r w:rsidR="00BB05AB">
        <w:t xml:space="preserve">edevelopment </w:t>
      </w:r>
      <w:r w:rsidR="00A41A4B">
        <w:t>P</w:t>
      </w:r>
      <w:r w:rsidR="00BB05AB">
        <w:t xml:space="preserve">lans, such as state-designated Arts </w:t>
      </w:r>
      <w:r w:rsidR="00545192">
        <w:t>&amp;</w:t>
      </w:r>
      <w:r w:rsidR="00BB05AB">
        <w:t xml:space="preserve"> Culture Districts,</w:t>
      </w:r>
      <w:r w:rsidR="002B0DF1">
        <w:t xml:space="preserve"> should</w:t>
      </w:r>
      <w:r w:rsidR="00BB05AB">
        <w:t xml:space="preserve"> </w:t>
      </w:r>
      <w:r w:rsidR="00AB0A7B">
        <w:t>be considered Concerted Community Revitalization Plans for prioritizing the distribution of tax credits.</w:t>
      </w:r>
    </w:p>
    <w:p w14:paraId="46D766C2" w14:textId="38DBC77C" w:rsidR="00AB0A7B" w:rsidRDefault="002A7722" w:rsidP="00BB05AB">
      <w:r w:rsidRPr="002B0DF1">
        <w:t>Response</w:t>
      </w:r>
      <w:r>
        <w:t xml:space="preserve">: Further research is needed to effectuate a change. </w:t>
      </w:r>
      <w:r w:rsidR="00A41A4B">
        <w:t xml:space="preserve">The definition of a Concerted Community Revitalization Plan will be </w:t>
      </w:r>
      <w:r>
        <w:t xml:space="preserve">reviewed and potentially </w:t>
      </w:r>
      <w:r w:rsidR="00A41A4B">
        <w:t>expanded to incorporate more</w:t>
      </w:r>
      <w:r w:rsidR="00162B11">
        <w:t xml:space="preserve"> areas</w:t>
      </w:r>
      <w:r w:rsidR="00A41A4B">
        <w:t xml:space="preserve"> than those currently covered by Metropolitan Redevelopment Plans</w:t>
      </w:r>
      <w:r w:rsidR="00B0618F">
        <w:t xml:space="preserve"> and NM MainStreets</w:t>
      </w:r>
      <w:r>
        <w:t xml:space="preserve"> in the 2022 QAP</w:t>
      </w:r>
      <w:r w:rsidR="00A41A4B">
        <w:t>.</w:t>
      </w:r>
    </w:p>
    <w:p w14:paraId="1B5D2635" w14:textId="30C89FF6" w:rsidR="00A41A4B" w:rsidRPr="006402EF" w:rsidRDefault="00A41A4B" w:rsidP="00A41A4B">
      <w:pPr>
        <w:pStyle w:val="Heading2"/>
        <w:rPr>
          <w:b/>
          <w:bCs/>
        </w:rPr>
      </w:pPr>
      <w:bookmarkStart w:id="2" w:name="_Toc52954456"/>
      <w:r w:rsidRPr="006402EF">
        <w:rPr>
          <w:b/>
          <w:bCs/>
        </w:rPr>
        <w:t>Cost Containment</w:t>
      </w:r>
      <w:bookmarkEnd w:id="2"/>
    </w:p>
    <w:p w14:paraId="1BAD7EA1" w14:textId="2BBF8AB3" w:rsidR="00A41A4B" w:rsidRDefault="002A7722" w:rsidP="00A41A4B">
      <w:r w:rsidRPr="002B0DF1">
        <w:rPr>
          <w:b/>
          <w:bCs/>
        </w:rPr>
        <w:t>Comment</w:t>
      </w:r>
      <w:r>
        <w:t>:</w:t>
      </w:r>
      <w:r w:rsidR="00162B11">
        <w:t xml:space="preserve"> </w:t>
      </w:r>
      <w:r>
        <w:t>T</w:t>
      </w:r>
      <w:r w:rsidR="00162B11">
        <w:t xml:space="preserve">he QAP </w:t>
      </w:r>
      <w:r>
        <w:t xml:space="preserve">implies </w:t>
      </w:r>
      <w:r w:rsidR="00162B11">
        <w:t xml:space="preserve">that Builder fees </w:t>
      </w:r>
      <w:r w:rsidR="00545192">
        <w:t>must be</w:t>
      </w:r>
      <w:r w:rsidR="00162B11">
        <w:t xml:space="preserve"> locked in at application for 4% Projects.</w:t>
      </w:r>
    </w:p>
    <w:p w14:paraId="7F184BD1" w14:textId="75353430" w:rsidR="00162B11" w:rsidRDefault="002A7722" w:rsidP="00A41A4B">
      <w:r w:rsidRPr="002B0DF1">
        <w:t>Response</w:t>
      </w:r>
      <w:r>
        <w:t>:</w:t>
      </w:r>
      <w:r w:rsidR="00162B11">
        <w:t xml:space="preserve"> </w:t>
      </w:r>
      <w:r w:rsidR="00844704">
        <w:t>Clarification regarding Builder fees for 4% projects provided</w:t>
      </w:r>
      <w:r w:rsidR="00162B11">
        <w:t xml:space="preserve"> in </w:t>
      </w:r>
      <w:r>
        <w:t>the 2021</w:t>
      </w:r>
      <w:r w:rsidR="00162B11">
        <w:t xml:space="preserve"> QAP. </w:t>
      </w:r>
    </w:p>
    <w:p w14:paraId="03E9E86B" w14:textId="1E785F6D" w:rsidR="00162B11" w:rsidRDefault="002B0DF1" w:rsidP="00A41A4B">
      <w:r w:rsidRPr="002B0DF1">
        <w:rPr>
          <w:b/>
          <w:bCs/>
        </w:rPr>
        <w:lastRenderedPageBreak/>
        <w:t>Comment</w:t>
      </w:r>
      <w:r w:rsidR="00162B11">
        <w:t>: Allow more factors to be considered cost containment measures.</w:t>
      </w:r>
    </w:p>
    <w:p w14:paraId="556C9603" w14:textId="500E2F32" w:rsidR="00162B11" w:rsidRDefault="002B0DF1" w:rsidP="00A41A4B">
      <w:r w:rsidRPr="002B0DF1">
        <w:t>Response</w:t>
      </w:r>
      <w:r w:rsidR="00162B11">
        <w:t xml:space="preserve">: This </w:t>
      </w:r>
      <w:r w:rsidR="00844704">
        <w:t>suggestion</w:t>
      </w:r>
      <w:r w:rsidR="00162B11">
        <w:t xml:space="preserve"> warrants further investigation; we will consider adding more factors as cost containment measures in the QAP for 2022.</w:t>
      </w:r>
    </w:p>
    <w:p w14:paraId="4B3561F0" w14:textId="4DF4A75E" w:rsidR="002B0DF1" w:rsidRDefault="00915B97" w:rsidP="00A41A4B">
      <w:r w:rsidRPr="00915B97">
        <w:rPr>
          <w:b/>
          <w:bCs/>
        </w:rPr>
        <w:t>Comment</w:t>
      </w:r>
      <w:r>
        <w:t>: Do not incentivize lower construction costs by eliminating “efficient use of tax credits” scoring criteria to encourage the building of higher quality units.</w:t>
      </w:r>
    </w:p>
    <w:p w14:paraId="6B69BD93" w14:textId="73779A72" w:rsidR="00915B97" w:rsidRDefault="00915B97" w:rsidP="00A41A4B">
      <w:r>
        <w:t>Response: The</w:t>
      </w:r>
      <w:r w:rsidRPr="0093494D">
        <w:t xml:space="preserve"> efficient use of tax credits</w:t>
      </w:r>
      <w:r>
        <w:t xml:space="preserve"> scoring criteria</w:t>
      </w:r>
      <w:r w:rsidRPr="0093494D">
        <w:t xml:space="preserve"> does not put a limit on the total development cost but rather incentivizes leveraging other sources. The cost limits are based on the applications that come in during a round, and as such,</w:t>
      </w:r>
      <w:r>
        <w:t xml:space="preserve"> the dollar amount </w:t>
      </w:r>
      <w:r w:rsidR="00B0618F">
        <w:t>of the cost containment cap</w:t>
      </w:r>
      <w:r>
        <w:t xml:space="preserve"> </w:t>
      </w:r>
      <w:r w:rsidRPr="0093494D">
        <w:t>increase</w:t>
      </w:r>
      <w:r>
        <w:t>s</w:t>
      </w:r>
      <w:r w:rsidRPr="0093494D">
        <w:t xml:space="preserve"> with the market.</w:t>
      </w:r>
    </w:p>
    <w:p w14:paraId="42E0B252" w14:textId="2F8AEC20" w:rsidR="00915B97" w:rsidRPr="006402EF" w:rsidRDefault="00663E75" w:rsidP="00663E75">
      <w:pPr>
        <w:pStyle w:val="Heading2"/>
        <w:rPr>
          <w:b/>
          <w:bCs/>
        </w:rPr>
      </w:pPr>
      <w:bookmarkStart w:id="3" w:name="_Toc52954457"/>
      <w:r w:rsidRPr="006402EF">
        <w:rPr>
          <w:b/>
          <w:bCs/>
        </w:rPr>
        <w:t>Design Competition</w:t>
      </w:r>
      <w:bookmarkEnd w:id="3"/>
    </w:p>
    <w:p w14:paraId="7F915087" w14:textId="0A1A3164" w:rsidR="00663E75" w:rsidRDefault="00663E75" w:rsidP="00663E75">
      <w:r>
        <w:rPr>
          <w:b/>
          <w:bCs/>
        </w:rPr>
        <w:t>Comment</w:t>
      </w:r>
      <w:r>
        <w:t>: Reinstitute the Design Competition.</w:t>
      </w:r>
    </w:p>
    <w:p w14:paraId="29E57ED4" w14:textId="01EDDA2D" w:rsidR="00663E75" w:rsidRDefault="00663E75" w:rsidP="00663E75">
      <w:r>
        <w:t xml:space="preserve">Response: </w:t>
      </w:r>
      <w:r w:rsidR="00B02D56">
        <w:t>O</w:t>
      </w:r>
      <w:r>
        <w:t>ur development partners indicated that when the Design Competition was in place, it drove costs up significantly while providing relatively little in terms of tenant benefits.</w:t>
      </w:r>
    </w:p>
    <w:p w14:paraId="050A8F3D" w14:textId="31068C9A" w:rsidR="00367C52" w:rsidRPr="006402EF" w:rsidRDefault="00367C52" w:rsidP="00367C52">
      <w:pPr>
        <w:pStyle w:val="Heading2"/>
        <w:rPr>
          <w:b/>
          <w:bCs/>
        </w:rPr>
      </w:pPr>
      <w:bookmarkStart w:id="4" w:name="_Toc52954458"/>
      <w:r w:rsidRPr="006402EF">
        <w:rPr>
          <w:b/>
          <w:bCs/>
        </w:rPr>
        <w:t>For-Profit</w:t>
      </w:r>
      <w:bookmarkEnd w:id="4"/>
    </w:p>
    <w:p w14:paraId="634CCCA1" w14:textId="011F057B" w:rsidR="00367C52" w:rsidRDefault="00367C52" w:rsidP="00367C52">
      <w:r w:rsidRPr="00367C52">
        <w:rPr>
          <w:b/>
          <w:bCs/>
        </w:rPr>
        <w:t>Comment</w:t>
      </w:r>
      <w:r>
        <w:t>:</w:t>
      </w:r>
      <w:r w:rsidRPr="00367C52">
        <w:t xml:space="preserve"> Create a new scoring criterion for developers that are vertically integrated for-profit New Mexico companies</w:t>
      </w:r>
      <w:r>
        <w:t>.</w:t>
      </w:r>
    </w:p>
    <w:p w14:paraId="1E21FAF4" w14:textId="729A1AB3" w:rsidR="00367C52" w:rsidRDefault="00367C52" w:rsidP="00367C52">
      <w:r>
        <w:t xml:space="preserve">Response: </w:t>
      </w:r>
      <w:r w:rsidR="008A25E9">
        <w:t>Vertical integration is a cost savings for the developer, not necessarily for tenants; it is not something that needs to be incentivized by the QAP. This suggestion would</w:t>
      </w:r>
      <w:r w:rsidR="00B0618F">
        <w:t xml:space="preserve"> also</w:t>
      </w:r>
      <w:r w:rsidR="008A25E9">
        <w:t xml:space="preserve"> primarily focus on the New Mexico development community, while MFA also wants to attract outside developers.</w:t>
      </w:r>
    </w:p>
    <w:p w14:paraId="4500B69E" w14:textId="7814A73A" w:rsidR="008A25E9" w:rsidRDefault="008A25E9" w:rsidP="00367C52">
      <w:r>
        <w:rPr>
          <w:b/>
          <w:bCs/>
        </w:rPr>
        <w:t>Comment</w:t>
      </w:r>
      <w:r>
        <w:t>: The QAP too heavily favors tribal entities and non-profit</w:t>
      </w:r>
      <w:r w:rsidR="00590975">
        <w:t>s</w:t>
      </w:r>
      <w:r>
        <w:t xml:space="preserve">, both of whom already have access to a </w:t>
      </w:r>
      <w:r w:rsidR="00420A21">
        <w:t>wide range</w:t>
      </w:r>
      <w:r>
        <w:t xml:space="preserve"> of outside resources to cover development and building costs. </w:t>
      </w:r>
      <w:r w:rsidR="00561890">
        <w:t>F</w:t>
      </w:r>
      <w:r>
        <w:t>or profit developers have little chan</w:t>
      </w:r>
      <w:r w:rsidR="00B02D56">
        <w:t>c</w:t>
      </w:r>
      <w:r>
        <w:t>e of securing tax credits.</w:t>
      </w:r>
    </w:p>
    <w:p w14:paraId="7EF4DE2E" w14:textId="23800C80" w:rsidR="008A25E9" w:rsidRDefault="008A25E9" w:rsidP="00367C52">
      <w:r>
        <w:t>Response:</w:t>
      </w:r>
      <w:r w:rsidRPr="008A25E9">
        <w:t xml:space="preserve"> </w:t>
      </w:r>
      <w:r>
        <w:t xml:space="preserve">Tribal lands have a disproportionate need for quality affordable housing. There are many barriers to tribal projects that other projects </w:t>
      </w:r>
      <w:r w:rsidR="00590975">
        <w:t>do not</w:t>
      </w:r>
      <w:r>
        <w:t xml:space="preserve"> have: developer capacity, lack of access to traditional financing sources, difficulty attracting investors and securing fair credit pricing, to name a few. Given these factors, we </w:t>
      </w:r>
      <w:r w:rsidR="00214B82">
        <w:t xml:space="preserve">included tribal communities in the Underserved Populations Set-Aside in the 2021 QAP. </w:t>
      </w:r>
    </w:p>
    <w:p w14:paraId="274DAA01" w14:textId="5183E2B3" w:rsidR="00420A21" w:rsidRDefault="00420A21" w:rsidP="008A25E9">
      <w:r>
        <w:t>As for non-profit</w:t>
      </w:r>
      <w:r w:rsidR="001061DB">
        <w:t>s</w:t>
      </w:r>
      <w:r>
        <w:t>, t</w:t>
      </w:r>
      <w:r w:rsidR="008A25E9">
        <w:t xml:space="preserve">he </w:t>
      </w:r>
      <w:r>
        <w:t>C</w:t>
      </w:r>
      <w:r w:rsidR="008A25E9">
        <w:t xml:space="preserve">ode </w:t>
      </w:r>
      <w:r w:rsidR="001061DB">
        <w:t>urges</w:t>
      </w:r>
      <w:r w:rsidR="008A25E9">
        <w:t xml:space="preserve"> Housing Finance Agencies to support </w:t>
      </w:r>
      <w:r>
        <w:t>their</w:t>
      </w:r>
      <w:r w:rsidR="008A25E9">
        <w:t xml:space="preserve"> participation</w:t>
      </w:r>
      <w:r>
        <w:t>. The</w:t>
      </w:r>
      <w:r w:rsidR="008A25E9">
        <w:t xml:space="preserve"> current</w:t>
      </w:r>
      <w:r>
        <w:t xml:space="preserve"> QAP</w:t>
      </w:r>
      <w:r w:rsidR="008A25E9">
        <w:t xml:space="preserve"> d</w:t>
      </w:r>
      <w:r>
        <w:t>oes</w:t>
      </w:r>
      <w:r w:rsidR="008A25E9">
        <w:t xml:space="preserve"> not exclude for-</w:t>
      </w:r>
      <w:r w:rsidR="00590975">
        <w:t>profits</w:t>
      </w:r>
      <w:r w:rsidR="001061DB">
        <w:t>,</w:t>
      </w:r>
      <w:r w:rsidR="00590975">
        <w:t xml:space="preserve"> but</w:t>
      </w:r>
      <w:r w:rsidR="008A25E9">
        <w:t xml:space="preserve"> </w:t>
      </w:r>
      <w:r w:rsidR="001061DB">
        <w:t xml:space="preserve">it does </w:t>
      </w:r>
      <w:r w:rsidR="008A25E9">
        <w:t xml:space="preserve">encourage </w:t>
      </w:r>
      <w:r>
        <w:t xml:space="preserve">them to enter into </w:t>
      </w:r>
      <w:r w:rsidR="008A25E9">
        <w:t xml:space="preserve">joint partnerships with non-profits. </w:t>
      </w:r>
    </w:p>
    <w:p w14:paraId="1ACC38D3" w14:textId="026C4EFD" w:rsidR="008A25E9" w:rsidRDefault="008A25E9" w:rsidP="008A25E9">
      <w:r>
        <w:t xml:space="preserve">However, this is an area we feel </w:t>
      </w:r>
      <w:r w:rsidR="00214B82">
        <w:t>warrants additional consideration</w:t>
      </w:r>
      <w:r>
        <w:t>. It is not necessary to have a non-profit partner in order to produce a quality affordable housing development</w:t>
      </w:r>
      <w:r w:rsidR="001061DB">
        <w:t>. T</w:t>
      </w:r>
      <w:r>
        <w:t xml:space="preserve">here </w:t>
      </w:r>
      <w:r w:rsidR="00420A21">
        <w:t>may be</w:t>
      </w:r>
      <w:r>
        <w:t xml:space="preserve"> a way to lessen the scoring incentive and create a better balance</w:t>
      </w:r>
      <w:r w:rsidR="001061DB">
        <w:t>,</w:t>
      </w:r>
      <w:r w:rsidR="00420A21">
        <w:t xml:space="preserve"> with the hope </w:t>
      </w:r>
      <w:r>
        <w:t xml:space="preserve">that for-profit partners do not feel like the </w:t>
      </w:r>
      <w:r w:rsidRPr="00420A21">
        <w:rPr>
          <w:i/>
          <w:iCs/>
        </w:rPr>
        <w:t>only</w:t>
      </w:r>
      <w:r>
        <w:t xml:space="preserve"> way they can participate is through a non-profit partnership</w:t>
      </w:r>
      <w:r w:rsidR="00214B82">
        <w:t>, so will review this further for the 2022 QAP.</w:t>
      </w:r>
    </w:p>
    <w:p w14:paraId="70DF9F20" w14:textId="2C6EF684" w:rsidR="001061DB" w:rsidRDefault="001061DB" w:rsidP="008A25E9">
      <w:pPr>
        <w:rPr>
          <w:rFonts w:ascii="Calibri" w:eastAsia="Times New Roman" w:hAnsi="Calibri" w:cs="Calibri"/>
          <w:color w:val="000000"/>
        </w:rPr>
      </w:pPr>
      <w:r>
        <w:rPr>
          <w:b/>
          <w:bCs/>
        </w:rPr>
        <w:t>Comment:</w:t>
      </w:r>
      <w:r w:rsidR="00420545">
        <w:rPr>
          <w:b/>
          <w:bCs/>
        </w:rPr>
        <w:t xml:space="preserve"> </w:t>
      </w:r>
      <w:r w:rsidR="00420545" w:rsidRPr="00420545">
        <w:rPr>
          <w:rFonts w:ascii="Calibri" w:eastAsia="Times New Roman" w:hAnsi="Calibri" w:cs="Calibri"/>
          <w:color w:val="000000"/>
        </w:rPr>
        <w:t>The financial capacity requirement for non-profits stifles participation.</w:t>
      </w:r>
    </w:p>
    <w:p w14:paraId="79A876F2" w14:textId="0754AF0A" w:rsidR="00420545" w:rsidRDefault="00420545" w:rsidP="008A25E9">
      <w:pPr>
        <w:rPr>
          <w:rFonts w:ascii="Calibri" w:eastAsia="Times New Roman" w:hAnsi="Calibri" w:cs="Calibri"/>
          <w:color w:val="000000"/>
        </w:rPr>
      </w:pPr>
      <w:r>
        <w:rPr>
          <w:rFonts w:ascii="Calibri" w:eastAsia="Times New Roman" w:hAnsi="Calibri" w:cs="Calibri"/>
          <w:color w:val="000000"/>
        </w:rPr>
        <w:lastRenderedPageBreak/>
        <w:t xml:space="preserve">Response: </w:t>
      </w:r>
      <w:r w:rsidR="00AA222C">
        <w:rPr>
          <w:rFonts w:ascii="Calibri" w:eastAsia="Times New Roman" w:hAnsi="Calibri" w:cs="Calibri"/>
          <w:color w:val="000000"/>
        </w:rPr>
        <w:t xml:space="preserve">In order to score points </w:t>
      </w:r>
      <w:r w:rsidR="009527DD">
        <w:rPr>
          <w:rFonts w:ascii="Calibri" w:eastAsia="Times New Roman" w:hAnsi="Calibri" w:cs="Calibri"/>
          <w:color w:val="000000"/>
        </w:rPr>
        <w:t>in the non-profit Project Selection Criterion</w:t>
      </w:r>
      <w:r w:rsidR="00AA222C">
        <w:rPr>
          <w:rFonts w:ascii="Calibri" w:eastAsia="Times New Roman" w:hAnsi="Calibri" w:cs="Calibri"/>
          <w:color w:val="000000"/>
        </w:rPr>
        <w:t xml:space="preserve">, qualified local non-profits must at a minimum have a $250,000 net worth, including net assets. </w:t>
      </w:r>
      <w:r w:rsidR="00214B82">
        <w:rPr>
          <w:rFonts w:ascii="Calibri" w:eastAsia="Times New Roman" w:hAnsi="Calibri" w:cs="Calibri"/>
          <w:color w:val="000000"/>
        </w:rPr>
        <w:t xml:space="preserve"> We do not consider t</w:t>
      </w:r>
      <w:r w:rsidR="00AA222C">
        <w:rPr>
          <w:rFonts w:ascii="Calibri" w:eastAsia="Times New Roman" w:hAnsi="Calibri" w:cs="Calibri"/>
          <w:color w:val="000000"/>
        </w:rPr>
        <w:t xml:space="preserve">hat </w:t>
      </w:r>
      <w:r w:rsidR="00214B82">
        <w:rPr>
          <w:rFonts w:ascii="Calibri" w:eastAsia="Times New Roman" w:hAnsi="Calibri" w:cs="Calibri"/>
          <w:color w:val="000000"/>
        </w:rPr>
        <w:t xml:space="preserve">a high </w:t>
      </w:r>
      <w:r w:rsidR="00AA222C">
        <w:rPr>
          <w:rFonts w:ascii="Calibri" w:eastAsia="Times New Roman" w:hAnsi="Calibri" w:cs="Calibri"/>
          <w:color w:val="000000"/>
        </w:rPr>
        <w:t xml:space="preserve">bar </w:t>
      </w:r>
      <w:r w:rsidR="005F2561">
        <w:rPr>
          <w:rFonts w:ascii="Calibri" w:eastAsia="Times New Roman" w:hAnsi="Calibri" w:cs="Calibri"/>
          <w:color w:val="000000"/>
        </w:rPr>
        <w:t xml:space="preserve">for </w:t>
      </w:r>
      <w:r w:rsidR="00AA222C">
        <w:rPr>
          <w:rFonts w:ascii="Calibri" w:eastAsia="Times New Roman" w:hAnsi="Calibri" w:cs="Calibri"/>
          <w:color w:val="000000"/>
        </w:rPr>
        <w:t xml:space="preserve">development and construction of projects </w:t>
      </w:r>
      <w:r w:rsidR="005F2561">
        <w:rPr>
          <w:rFonts w:ascii="Calibri" w:eastAsia="Times New Roman" w:hAnsi="Calibri" w:cs="Calibri"/>
          <w:color w:val="000000"/>
        </w:rPr>
        <w:t xml:space="preserve">that </w:t>
      </w:r>
      <w:r w:rsidR="00AA222C">
        <w:rPr>
          <w:rFonts w:ascii="Calibri" w:eastAsia="Times New Roman" w:hAnsi="Calibri" w:cs="Calibri"/>
          <w:color w:val="000000"/>
        </w:rPr>
        <w:t xml:space="preserve">will require </w:t>
      </w:r>
      <w:r w:rsidR="001B42EB">
        <w:rPr>
          <w:rFonts w:ascii="Calibri" w:eastAsia="Times New Roman" w:hAnsi="Calibri" w:cs="Calibri"/>
          <w:color w:val="000000"/>
        </w:rPr>
        <w:t xml:space="preserve">possessing </w:t>
      </w:r>
      <w:r w:rsidR="00AA222C">
        <w:rPr>
          <w:rFonts w:ascii="Calibri" w:eastAsia="Times New Roman" w:hAnsi="Calibri" w:cs="Calibri"/>
          <w:color w:val="000000"/>
        </w:rPr>
        <w:t>hundreds of thousands</w:t>
      </w:r>
      <w:r w:rsidR="00044716">
        <w:rPr>
          <w:rFonts w:ascii="Calibri" w:eastAsia="Times New Roman" w:hAnsi="Calibri" w:cs="Calibri"/>
          <w:color w:val="000000"/>
        </w:rPr>
        <w:t>, if not millions,</w:t>
      </w:r>
      <w:r w:rsidR="001B42EB">
        <w:rPr>
          <w:rFonts w:ascii="Calibri" w:eastAsia="Times New Roman" w:hAnsi="Calibri" w:cs="Calibri"/>
          <w:color w:val="000000"/>
        </w:rPr>
        <w:t xml:space="preserve"> of </w:t>
      </w:r>
      <w:r w:rsidR="00E76029">
        <w:rPr>
          <w:rFonts w:ascii="Calibri" w:eastAsia="Times New Roman" w:hAnsi="Calibri" w:cs="Calibri"/>
          <w:color w:val="000000"/>
        </w:rPr>
        <w:t>dollars worth</w:t>
      </w:r>
      <w:r w:rsidR="00AA222C">
        <w:rPr>
          <w:rFonts w:ascii="Calibri" w:eastAsia="Times New Roman" w:hAnsi="Calibri" w:cs="Calibri"/>
          <w:color w:val="000000"/>
        </w:rPr>
        <w:t xml:space="preserve"> of tools </w:t>
      </w:r>
      <w:r w:rsidR="00561890">
        <w:rPr>
          <w:rFonts w:ascii="Calibri" w:eastAsia="Times New Roman" w:hAnsi="Calibri" w:cs="Calibri"/>
          <w:color w:val="000000"/>
        </w:rPr>
        <w:t>and/</w:t>
      </w:r>
      <w:r w:rsidR="00AA222C">
        <w:rPr>
          <w:rFonts w:ascii="Calibri" w:eastAsia="Times New Roman" w:hAnsi="Calibri" w:cs="Calibri"/>
          <w:color w:val="000000"/>
        </w:rPr>
        <w:t>or capital.</w:t>
      </w:r>
    </w:p>
    <w:p w14:paraId="1037FC06" w14:textId="464BEA95" w:rsidR="00B14BB0" w:rsidRPr="006402EF" w:rsidRDefault="00B14BB0" w:rsidP="00B14BB0">
      <w:pPr>
        <w:pStyle w:val="Heading2"/>
        <w:rPr>
          <w:rFonts w:eastAsia="Times New Roman"/>
          <w:b/>
          <w:bCs/>
        </w:rPr>
      </w:pPr>
      <w:bookmarkStart w:id="5" w:name="_Toc52954459"/>
      <w:r w:rsidRPr="006402EF">
        <w:rPr>
          <w:rFonts w:eastAsia="Times New Roman"/>
          <w:b/>
          <w:bCs/>
        </w:rPr>
        <w:t>Green Building</w:t>
      </w:r>
      <w:bookmarkEnd w:id="5"/>
    </w:p>
    <w:p w14:paraId="29FECB27" w14:textId="55004227" w:rsidR="00420A21" w:rsidRDefault="00E05A17" w:rsidP="008A25E9">
      <w:r>
        <w:rPr>
          <w:b/>
          <w:bCs/>
        </w:rPr>
        <w:t>Comment</w:t>
      </w:r>
      <w:r>
        <w:t>:</w:t>
      </w:r>
      <w:r w:rsidR="00B14BB0">
        <w:t xml:space="preserve"> Provide additional points for exceptionally green building.</w:t>
      </w:r>
    </w:p>
    <w:p w14:paraId="05F6BD65" w14:textId="6EA5095A" w:rsidR="00B14BB0" w:rsidRDefault="00B14BB0" w:rsidP="008A25E9">
      <w:r>
        <w:t>Response: This comment is taken under advisement but will require further study before it is implemented</w:t>
      </w:r>
      <w:r w:rsidR="005F2561">
        <w:t>.  Will be considered</w:t>
      </w:r>
      <w:r>
        <w:t xml:space="preserve"> in the QAP for 2022.</w:t>
      </w:r>
    </w:p>
    <w:p w14:paraId="5552CF26" w14:textId="6EAD6F2A" w:rsidR="00B14BB0" w:rsidRDefault="00B14BB0" w:rsidP="008A25E9">
      <w:r>
        <w:rPr>
          <w:b/>
          <w:bCs/>
        </w:rPr>
        <w:t>Comment</w:t>
      </w:r>
      <w:r>
        <w:t>: Requir</w:t>
      </w:r>
      <w:r w:rsidR="009B2D8F">
        <w:t>e</w:t>
      </w:r>
      <w:r>
        <w:t xml:space="preserve"> building to the National Green Building Standard in the QAP.</w:t>
      </w:r>
    </w:p>
    <w:p w14:paraId="73C1FAE8" w14:textId="6776142F" w:rsidR="00B14BB0" w:rsidRDefault="00B14BB0" w:rsidP="008A25E9">
      <w:r>
        <w:t xml:space="preserve">Response: </w:t>
      </w:r>
      <w:r w:rsidR="00FF643F">
        <w:t xml:space="preserve">Implementing this standard would require adding yet another layer of bureaucracy </w:t>
      </w:r>
      <w:r w:rsidR="00561890">
        <w:t>due to</w:t>
      </w:r>
      <w:r w:rsidR="00FF643F">
        <w:t xml:space="preserve"> third party inspection of units </w:t>
      </w:r>
      <w:r w:rsidR="00561890">
        <w:t>being</w:t>
      </w:r>
      <w:r w:rsidR="00FF643F">
        <w:t xml:space="preserve"> required to abide by this standard. The energy efficiency and environmental standards in the 2021 QAP </w:t>
      </w:r>
      <w:r w:rsidR="009527DD">
        <w:t xml:space="preserve">push developments to create energy efficient buildings without creating a high level of additional inspections. </w:t>
      </w:r>
    </w:p>
    <w:p w14:paraId="24F16F33" w14:textId="7AAF6791" w:rsidR="00FF643F" w:rsidRPr="006402EF" w:rsidRDefault="00AB7A01" w:rsidP="00AB7A01">
      <w:pPr>
        <w:pStyle w:val="Heading2"/>
        <w:rPr>
          <w:b/>
          <w:bCs/>
        </w:rPr>
      </w:pPr>
      <w:bookmarkStart w:id="6" w:name="_Toc52954460"/>
      <w:r w:rsidRPr="006402EF">
        <w:rPr>
          <w:b/>
          <w:bCs/>
        </w:rPr>
        <w:t>Low Income Focus</w:t>
      </w:r>
      <w:bookmarkEnd w:id="6"/>
    </w:p>
    <w:p w14:paraId="362524D4" w14:textId="1DC83AAC" w:rsidR="00AB7A01" w:rsidRDefault="00AB7A01" w:rsidP="00AB7A01">
      <w:r>
        <w:rPr>
          <w:b/>
          <w:bCs/>
        </w:rPr>
        <w:t>Comment</w:t>
      </w:r>
      <w:r>
        <w:t>: Focus on the lowest income units, particularly by adding points for projects that include units reserved for those at 30% AMI.</w:t>
      </w:r>
    </w:p>
    <w:p w14:paraId="257F8E0F" w14:textId="34D859FC" w:rsidR="00AB7A01" w:rsidRDefault="00AB7A01" w:rsidP="00AB7A01">
      <w:pPr>
        <w:rPr>
          <w:rFonts w:ascii="Calibri" w:eastAsia="Calibri" w:hAnsi="Calibri" w:cs="Times New Roman"/>
        </w:rPr>
      </w:pPr>
      <w:r>
        <w:t xml:space="preserve">Response: </w:t>
      </w:r>
      <w:r w:rsidR="006402EF">
        <w:t xml:space="preserve">The QAP’s “Other Scoring Points Available Section” </w:t>
      </w:r>
      <w:r w:rsidR="00924DA3">
        <w:t xml:space="preserve">allows for up to three additional points for projects in which at least 5% of units </w:t>
      </w:r>
      <w:r w:rsidR="00924DA3" w:rsidRPr="00B263FB">
        <w:rPr>
          <w:rFonts w:ascii="Calibri" w:eastAsia="Calibri" w:hAnsi="Calibri" w:cs="Times New Roman"/>
        </w:rPr>
        <w:t>will be rent restricted at 30</w:t>
      </w:r>
      <w:r w:rsidR="00924DA3">
        <w:rPr>
          <w:rFonts w:ascii="Calibri" w:eastAsia="Calibri" w:hAnsi="Calibri" w:cs="Times New Roman"/>
        </w:rPr>
        <w:t xml:space="preserve">% </w:t>
      </w:r>
      <w:r w:rsidR="00924DA3" w:rsidRPr="00B263FB">
        <w:rPr>
          <w:rFonts w:ascii="Calibri" w:eastAsia="Calibri" w:hAnsi="Calibri" w:cs="Times New Roman"/>
        </w:rPr>
        <w:t>of AMI</w:t>
      </w:r>
      <w:r w:rsidR="009527DD">
        <w:rPr>
          <w:rFonts w:ascii="Calibri" w:eastAsia="Calibri" w:hAnsi="Calibri" w:cs="Times New Roman"/>
        </w:rPr>
        <w:t xml:space="preserve"> without subsidy</w:t>
      </w:r>
      <w:r w:rsidR="00924DA3">
        <w:rPr>
          <w:rFonts w:ascii="Calibri" w:eastAsia="Calibri" w:hAnsi="Calibri" w:cs="Times New Roman"/>
        </w:rPr>
        <w:t>.</w:t>
      </w:r>
    </w:p>
    <w:p w14:paraId="29712ACD" w14:textId="5AF0EB0C" w:rsidR="00C97BC1" w:rsidRDefault="00924DA3" w:rsidP="00C97BC1">
      <w:pPr>
        <w:rPr>
          <w:rFonts w:ascii="Calibri" w:eastAsia="Times New Roman" w:hAnsi="Calibri" w:cs="Calibri"/>
          <w:color w:val="000000"/>
        </w:rPr>
      </w:pPr>
      <w:r>
        <w:rPr>
          <w:rFonts w:ascii="Calibri" w:eastAsia="Calibri" w:hAnsi="Calibri" w:cs="Times New Roman"/>
          <w:b/>
          <w:bCs/>
        </w:rPr>
        <w:t>Comment</w:t>
      </w:r>
      <w:r>
        <w:rPr>
          <w:rFonts w:ascii="Calibri" w:eastAsia="Calibri" w:hAnsi="Calibri" w:cs="Times New Roman"/>
        </w:rPr>
        <w:t xml:space="preserve">: </w:t>
      </w:r>
      <w:r w:rsidR="00C97BC1" w:rsidRPr="00C97BC1">
        <w:rPr>
          <w:rFonts w:ascii="Calibri" w:eastAsia="Times New Roman" w:hAnsi="Calibri" w:cs="Calibri"/>
          <w:color w:val="000000"/>
        </w:rPr>
        <w:t xml:space="preserve">Income restrictions created by private property management firms disqualify many people from </w:t>
      </w:r>
      <w:r w:rsidR="007435A6">
        <w:rPr>
          <w:rFonts w:ascii="Calibri" w:eastAsia="Times New Roman" w:hAnsi="Calibri" w:cs="Calibri"/>
          <w:color w:val="000000"/>
        </w:rPr>
        <w:t>accessing</w:t>
      </w:r>
      <w:r w:rsidR="00C97BC1" w:rsidRPr="00C97BC1">
        <w:rPr>
          <w:rFonts w:ascii="Calibri" w:eastAsia="Times New Roman" w:hAnsi="Calibri" w:cs="Calibri"/>
          <w:color w:val="000000"/>
        </w:rPr>
        <w:t xml:space="preserve"> set-aside</w:t>
      </w:r>
      <w:r w:rsidR="009527DD">
        <w:rPr>
          <w:rFonts w:ascii="Calibri" w:eastAsia="Times New Roman" w:hAnsi="Calibri" w:cs="Calibri"/>
          <w:color w:val="000000"/>
        </w:rPr>
        <w:t xml:space="preserve"> units</w:t>
      </w:r>
      <w:r w:rsidR="008B1C8E">
        <w:rPr>
          <w:rFonts w:ascii="Calibri" w:eastAsia="Times New Roman" w:hAnsi="Calibri" w:cs="Calibri"/>
          <w:color w:val="000000"/>
        </w:rPr>
        <w:t>, even if they have a voucher.</w:t>
      </w:r>
    </w:p>
    <w:p w14:paraId="6E30A82C" w14:textId="0757DAC1" w:rsidR="00C97BC1" w:rsidRDefault="00C97BC1" w:rsidP="00C97BC1">
      <w:pPr>
        <w:rPr>
          <w:rFonts w:ascii="Calibri" w:eastAsia="Times New Roman" w:hAnsi="Calibri" w:cs="Calibri"/>
          <w:color w:val="000000"/>
        </w:rPr>
      </w:pPr>
      <w:r>
        <w:rPr>
          <w:rFonts w:ascii="Calibri" w:eastAsia="Times New Roman" w:hAnsi="Calibri" w:cs="Calibri"/>
          <w:color w:val="000000"/>
        </w:rPr>
        <w:t xml:space="preserve">Response: This </w:t>
      </w:r>
      <w:r w:rsidR="009527DD">
        <w:rPr>
          <w:rFonts w:ascii="Calibri" w:eastAsia="Times New Roman" w:hAnsi="Calibri" w:cs="Calibri"/>
          <w:color w:val="000000"/>
        </w:rPr>
        <w:t xml:space="preserve">is a </w:t>
      </w:r>
      <w:r>
        <w:rPr>
          <w:rFonts w:ascii="Calibri" w:eastAsia="Times New Roman" w:hAnsi="Calibri" w:cs="Calibri"/>
          <w:color w:val="000000"/>
        </w:rPr>
        <w:t xml:space="preserve">matter </w:t>
      </w:r>
      <w:r w:rsidR="009527DD">
        <w:rPr>
          <w:rFonts w:ascii="Calibri" w:eastAsia="Times New Roman" w:hAnsi="Calibri" w:cs="Calibri"/>
          <w:color w:val="000000"/>
        </w:rPr>
        <w:t xml:space="preserve">that will be brought to MFA’s Asset Management’s attention. It is illegal to </w:t>
      </w:r>
      <w:r w:rsidR="008B1C8E">
        <w:rPr>
          <w:rFonts w:ascii="Calibri" w:eastAsia="Times New Roman" w:hAnsi="Calibri" w:cs="Calibri"/>
          <w:color w:val="000000"/>
        </w:rPr>
        <w:t xml:space="preserve">discriminate against voucher holding applicants to a tax credit property. </w:t>
      </w:r>
      <w:r w:rsidR="005F2561">
        <w:rPr>
          <w:rFonts w:ascii="Calibri" w:eastAsia="Times New Roman" w:hAnsi="Calibri" w:cs="Calibri"/>
          <w:color w:val="000000"/>
        </w:rPr>
        <w:t>The QAP reinforces that all projects must follow Fair Housing laws.</w:t>
      </w:r>
    </w:p>
    <w:p w14:paraId="368A815B" w14:textId="3624026E" w:rsidR="00FF17BC" w:rsidRPr="001F26E4" w:rsidRDefault="00FF17BC" w:rsidP="00FF17BC">
      <w:pPr>
        <w:pStyle w:val="Heading2"/>
        <w:rPr>
          <w:rFonts w:eastAsia="Times New Roman"/>
          <w:b/>
          <w:bCs/>
        </w:rPr>
      </w:pPr>
      <w:bookmarkStart w:id="7" w:name="_Toc52954461"/>
      <w:r w:rsidRPr="001F26E4">
        <w:rPr>
          <w:rFonts w:eastAsia="Times New Roman"/>
          <w:b/>
          <w:bCs/>
        </w:rPr>
        <w:t>LURA and Limited Partner</w:t>
      </w:r>
      <w:bookmarkEnd w:id="7"/>
    </w:p>
    <w:p w14:paraId="1E7E0BC2" w14:textId="65C2059A" w:rsidR="00FF17BC" w:rsidRDefault="00FF17BC" w:rsidP="00FF17BC">
      <w:r>
        <w:rPr>
          <w:b/>
          <w:bCs/>
        </w:rPr>
        <w:t>Comment</w:t>
      </w:r>
      <w:r>
        <w:t>:</w:t>
      </w:r>
      <w:r w:rsidR="00A11FE0">
        <w:t xml:space="preserve"> The “Compliance Period and Extended Use Period” section does not differentiate </w:t>
      </w:r>
      <w:r w:rsidR="00943DE2">
        <w:t xml:space="preserve">between changes in Limited Partnerships and changes in General Partnerships. Changes in Limited Partnerships do not affect the General Partnership’s ability to guarantee loans or compliance. This section should therefore explicitly exempt Limited </w:t>
      </w:r>
      <w:r w:rsidR="00565D34">
        <w:t>Partnerships</w:t>
      </w:r>
      <w:r w:rsidR="00943DE2">
        <w:t>.</w:t>
      </w:r>
    </w:p>
    <w:p w14:paraId="71DF74EE" w14:textId="6D32BABD" w:rsidR="008B1C8E" w:rsidRDefault="00565D34" w:rsidP="00FF17BC">
      <w:r>
        <w:t xml:space="preserve">Response: </w:t>
      </w:r>
      <w:r w:rsidR="008B1C8E">
        <w:t xml:space="preserve">This language is already contained in the current LIHTC LURA, and was added to the QAP for consistency. MFA is currently evaluating other states and their LURAs to make sure our requirements are </w:t>
      </w:r>
      <w:r w:rsidR="005F2561">
        <w:t xml:space="preserve">in line with recommended practices. </w:t>
      </w:r>
      <w:r w:rsidR="008B1C8E">
        <w:t xml:space="preserve"> </w:t>
      </w:r>
    </w:p>
    <w:p w14:paraId="1FE4E8A9" w14:textId="1C2F3AA9" w:rsidR="00F6492F" w:rsidRPr="001F26E4" w:rsidRDefault="00F6492F" w:rsidP="00F6492F">
      <w:pPr>
        <w:pStyle w:val="Heading2"/>
        <w:rPr>
          <w:b/>
          <w:bCs/>
        </w:rPr>
      </w:pPr>
      <w:bookmarkStart w:id="8" w:name="_Toc52954462"/>
      <w:r w:rsidRPr="001F26E4">
        <w:rPr>
          <w:b/>
          <w:bCs/>
        </w:rPr>
        <w:t>Market Study</w:t>
      </w:r>
      <w:bookmarkEnd w:id="8"/>
    </w:p>
    <w:p w14:paraId="5AEA2502" w14:textId="0F016162" w:rsidR="00F6492F" w:rsidRDefault="00F6492F" w:rsidP="00F6492F">
      <w:r>
        <w:rPr>
          <w:b/>
          <w:bCs/>
        </w:rPr>
        <w:t>Comment</w:t>
      </w:r>
      <w:r>
        <w:t>: Requiring a market study for the initial LIHTC application duplicates costs. Now, potential developers have to pay for a market study for this application and for an additional market study for investors.</w:t>
      </w:r>
    </w:p>
    <w:p w14:paraId="5240460B" w14:textId="13B8B5FF" w:rsidR="00F6492F" w:rsidRDefault="00F6492F" w:rsidP="00F6492F">
      <w:r>
        <w:lastRenderedPageBreak/>
        <w:t>Response: We are interested in soliciting feedback to understand why the same market study can not be used for both the initial LIHTC application and for investors.</w:t>
      </w:r>
      <w:r w:rsidR="005F2561">
        <w:t xml:space="preserve">  MFA will accept the market study completed for investors as long as it includes MFA’s market study requirements.</w:t>
      </w:r>
    </w:p>
    <w:p w14:paraId="27035AAD" w14:textId="4E32E563" w:rsidR="000D4412" w:rsidRPr="00F075E5" w:rsidRDefault="0051439D" w:rsidP="0051439D">
      <w:pPr>
        <w:pStyle w:val="Heading2"/>
        <w:rPr>
          <w:b/>
          <w:bCs/>
        </w:rPr>
      </w:pPr>
      <w:bookmarkStart w:id="9" w:name="_Toc52954463"/>
      <w:r w:rsidRPr="00F075E5">
        <w:rPr>
          <w:b/>
          <w:bCs/>
        </w:rPr>
        <w:t>Market Study /Timeline</w:t>
      </w:r>
      <w:bookmarkEnd w:id="9"/>
    </w:p>
    <w:p w14:paraId="30C63C0E" w14:textId="12561F04" w:rsidR="0051439D" w:rsidRDefault="0051439D" w:rsidP="0051439D">
      <w:r w:rsidRPr="00561890">
        <w:rPr>
          <w:b/>
          <w:bCs/>
        </w:rPr>
        <w:t>Comment</w:t>
      </w:r>
      <w:r>
        <w:t>: Market studies due with the initial application are an additional burden. The January 15</w:t>
      </w:r>
      <w:r w:rsidRPr="0051439D">
        <w:rPr>
          <w:vertAlign w:val="superscript"/>
        </w:rPr>
        <w:t>th</w:t>
      </w:r>
      <w:r>
        <w:t xml:space="preserve"> deadline is also to early in the year and inconvenient due to it being so close to the holidays.</w:t>
      </w:r>
    </w:p>
    <w:p w14:paraId="0CF08E22" w14:textId="11C2611F" w:rsidR="0051439D" w:rsidRPr="0051439D" w:rsidRDefault="0051439D" w:rsidP="0051439D">
      <w:r>
        <w:t xml:space="preserve">Response: </w:t>
      </w:r>
      <w:r w:rsidR="005F2561">
        <w:t xml:space="preserve">If a </w:t>
      </w:r>
      <w:r w:rsidR="005F311E">
        <w:t>project require</w:t>
      </w:r>
      <w:r w:rsidR="005F2561">
        <w:t>s</w:t>
      </w:r>
      <w:r w:rsidR="005F311E">
        <w:t xml:space="preserve"> a market study to be completed for investors; we are asking that </w:t>
      </w:r>
      <w:r w:rsidR="00FC67A3">
        <w:t>the same market study</w:t>
      </w:r>
      <w:r w:rsidR="005F311E">
        <w:t xml:space="preserve"> </w:t>
      </w:r>
      <w:r w:rsidR="00FC67A3">
        <w:t>be shared with</w:t>
      </w:r>
      <w:r w:rsidR="005F311E">
        <w:t xml:space="preserve"> us as well</w:t>
      </w:r>
      <w:r w:rsidR="005F2561">
        <w:t>, assuming it includes MFA’s market study requirements</w:t>
      </w:r>
      <w:r w:rsidR="005F311E">
        <w:t>. Regarding the timing, we recommend that this study be completed before the holidays, and therefore well before the initial application deadline, if possible.</w:t>
      </w:r>
    </w:p>
    <w:p w14:paraId="124CC32E" w14:textId="6914961C" w:rsidR="00FF17BC" w:rsidRPr="001F26E4" w:rsidRDefault="00AB58A5" w:rsidP="00AB58A5">
      <w:pPr>
        <w:pStyle w:val="Heading2"/>
        <w:rPr>
          <w:rFonts w:eastAsia="Times New Roman"/>
          <w:b/>
          <w:bCs/>
        </w:rPr>
      </w:pPr>
      <w:bookmarkStart w:id="10" w:name="_Toc52954464"/>
      <w:r w:rsidRPr="001F26E4">
        <w:rPr>
          <w:rFonts w:eastAsia="Times New Roman"/>
          <w:b/>
          <w:bCs/>
        </w:rPr>
        <w:t>NC/Rehab</w:t>
      </w:r>
      <w:bookmarkEnd w:id="10"/>
    </w:p>
    <w:p w14:paraId="1E9B53A1" w14:textId="19EDB8B9" w:rsidR="000D4412" w:rsidRPr="000D4412" w:rsidRDefault="00AB58A5" w:rsidP="000D4412">
      <w:pPr>
        <w:rPr>
          <w:rFonts w:ascii="Calibri" w:eastAsia="Times New Roman" w:hAnsi="Calibri" w:cs="Calibri"/>
          <w:color w:val="000000"/>
        </w:rPr>
      </w:pPr>
      <w:r>
        <w:rPr>
          <w:b/>
          <w:bCs/>
        </w:rPr>
        <w:t>Comment</w:t>
      </w:r>
      <w:r>
        <w:t xml:space="preserve">: </w:t>
      </w:r>
      <w:r w:rsidR="000D4412">
        <w:rPr>
          <w:rFonts w:ascii="Calibri" w:eastAsia="Times New Roman" w:hAnsi="Calibri" w:cs="Calibri"/>
          <w:color w:val="000000"/>
        </w:rPr>
        <w:t>The allocation r</w:t>
      </w:r>
      <w:r w:rsidR="000D4412" w:rsidRPr="000D4412">
        <w:rPr>
          <w:rFonts w:ascii="Calibri" w:eastAsia="Times New Roman" w:hAnsi="Calibri" w:cs="Calibri"/>
          <w:color w:val="000000"/>
        </w:rPr>
        <w:t xml:space="preserve">atio of 2 </w:t>
      </w:r>
      <w:r w:rsidR="000D4412">
        <w:rPr>
          <w:rFonts w:ascii="Calibri" w:eastAsia="Times New Roman" w:hAnsi="Calibri" w:cs="Calibri"/>
          <w:color w:val="000000"/>
        </w:rPr>
        <w:t>new construction projects</w:t>
      </w:r>
      <w:r w:rsidR="000D4412" w:rsidRPr="000D4412">
        <w:rPr>
          <w:rFonts w:ascii="Calibri" w:eastAsia="Times New Roman" w:hAnsi="Calibri" w:cs="Calibri"/>
          <w:color w:val="000000"/>
        </w:rPr>
        <w:t xml:space="preserve"> to 1 </w:t>
      </w:r>
      <w:r w:rsidR="000D4412">
        <w:rPr>
          <w:rFonts w:ascii="Calibri" w:eastAsia="Times New Roman" w:hAnsi="Calibri" w:cs="Calibri"/>
          <w:color w:val="000000"/>
        </w:rPr>
        <w:t>r</w:t>
      </w:r>
      <w:r w:rsidR="000D4412" w:rsidRPr="000D4412">
        <w:rPr>
          <w:rFonts w:ascii="Calibri" w:eastAsia="Times New Roman" w:hAnsi="Calibri" w:cs="Calibri"/>
          <w:color w:val="000000"/>
        </w:rPr>
        <w:t>ehab</w:t>
      </w:r>
      <w:r w:rsidR="000D4412">
        <w:rPr>
          <w:rFonts w:ascii="Calibri" w:eastAsia="Times New Roman" w:hAnsi="Calibri" w:cs="Calibri"/>
          <w:color w:val="000000"/>
        </w:rPr>
        <w:t>ilitation project</w:t>
      </w:r>
      <w:r w:rsidR="000D4412" w:rsidRPr="000D4412">
        <w:rPr>
          <w:rFonts w:ascii="Calibri" w:eastAsia="Times New Roman" w:hAnsi="Calibri" w:cs="Calibri"/>
          <w:color w:val="000000"/>
        </w:rPr>
        <w:t xml:space="preserve"> will de-incentiv</w:t>
      </w:r>
      <w:r w:rsidR="000D4412">
        <w:rPr>
          <w:rFonts w:ascii="Calibri" w:eastAsia="Times New Roman" w:hAnsi="Calibri" w:cs="Calibri"/>
          <w:color w:val="000000"/>
        </w:rPr>
        <w:t>ize</w:t>
      </w:r>
      <w:r w:rsidR="000D4412" w:rsidRPr="000D4412">
        <w:rPr>
          <w:rFonts w:ascii="Calibri" w:eastAsia="Times New Roman" w:hAnsi="Calibri" w:cs="Calibri"/>
          <w:color w:val="000000"/>
        </w:rPr>
        <w:t xml:space="preserve"> developers from applying for rehab projects. </w:t>
      </w:r>
      <w:r w:rsidR="008B1C8E">
        <w:rPr>
          <w:rFonts w:ascii="Calibri" w:eastAsia="Times New Roman" w:hAnsi="Calibri" w:cs="Calibri"/>
          <w:color w:val="000000"/>
        </w:rPr>
        <w:t xml:space="preserve">The commentator suggests that MFA </w:t>
      </w:r>
      <w:r w:rsidR="000D4412">
        <w:rPr>
          <w:rFonts w:ascii="Calibri" w:eastAsia="Times New Roman" w:hAnsi="Calibri" w:cs="Calibri"/>
          <w:color w:val="000000"/>
        </w:rPr>
        <w:t>not</w:t>
      </w:r>
      <w:r w:rsidR="000D4412" w:rsidRPr="000D4412">
        <w:rPr>
          <w:rFonts w:ascii="Calibri" w:eastAsia="Times New Roman" w:hAnsi="Calibri" w:cs="Calibri"/>
          <w:color w:val="000000"/>
        </w:rPr>
        <w:t xml:space="preserve"> do this until a plan is in place to preserve existing smaller affordable</w:t>
      </w:r>
      <w:r w:rsidR="000D4412">
        <w:rPr>
          <w:rFonts w:ascii="Calibri" w:eastAsia="Times New Roman" w:hAnsi="Calibri" w:cs="Calibri"/>
          <w:color w:val="000000"/>
        </w:rPr>
        <w:t xml:space="preserve"> rehabilitation</w:t>
      </w:r>
      <w:r w:rsidR="000D4412" w:rsidRPr="000D4412">
        <w:rPr>
          <w:rFonts w:ascii="Calibri" w:eastAsia="Times New Roman" w:hAnsi="Calibri" w:cs="Calibri"/>
          <w:color w:val="000000"/>
        </w:rPr>
        <w:t xml:space="preserve"> projects </w:t>
      </w:r>
      <w:r w:rsidR="000D4412">
        <w:rPr>
          <w:rFonts w:ascii="Calibri" w:eastAsia="Times New Roman" w:hAnsi="Calibri" w:cs="Calibri"/>
          <w:color w:val="000000"/>
        </w:rPr>
        <w:t xml:space="preserve">with other funding sources </w:t>
      </w:r>
      <w:r w:rsidR="000D4412" w:rsidRPr="000D4412">
        <w:rPr>
          <w:rFonts w:ascii="Calibri" w:eastAsia="Times New Roman" w:hAnsi="Calibri" w:cs="Calibri"/>
          <w:color w:val="000000"/>
        </w:rPr>
        <w:t xml:space="preserve">that cannot be part </w:t>
      </w:r>
      <w:r w:rsidR="000D4412">
        <w:rPr>
          <w:rFonts w:ascii="Calibri" w:eastAsia="Times New Roman" w:hAnsi="Calibri" w:cs="Calibri"/>
          <w:color w:val="000000"/>
        </w:rPr>
        <w:t>on</w:t>
      </w:r>
      <w:r w:rsidR="000D4412" w:rsidRPr="000D4412">
        <w:rPr>
          <w:rFonts w:ascii="Calibri" w:eastAsia="Times New Roman" w:hAnsi="Calibri" w:cs="Calibri"/>
          <w:color w:val="000000"/>
        </w:rPr>
        <w:t xml:space="preserve"> </w:t>
      </w:r>
      <w:r w:rsidR="000D4412">
        <w:rPr>
          <w:rFonts w:ascii="Calibri" w:eastAsia="Times New Roman" w:hAnsi="Calibri" w:cs="Calibri"/>
          <w:color w:val="000000"/>
        </w:rPr>
        <w:t>the</w:t>
      </w:r>
      <w:r w:rsidR="000D4412" w:rsidRPr="000D4412">
        <w:rPr>
          <w:rFonts w:ascii="Calibri" w:eastAsia="Times New Roman" w:hAnsi="Calibri" w:cs="Calibri"/>
          <w:color w:val="000000"/>
        </w:rPr>
        <w:t xml:space="preserve"> 4% LIHTC</w:t>
      </w:r>
      <w:r w:rsidR="000D4412">
        <w:rPr>
          <w:rFonts w:ascii="Calibri" w:eastAsia="Times New Roman" w:hAnsi="Calibri" w:cs="Calibri"/>
          <w:color w:val="000000"/>
        </w:rPr>
        <w:t xml:space="preserve"> track</w:t>
      </w:r>
      <w:r w:rsidR="000D4412" w:rsidRPr="000D4412">
        <w:rPr>
          <w:rFonts w:ascii="Calibri" w:eastAsia="Times New Roman" w:hAnsi="Calibri" w:cs="Calibri"/>
          <w:color w:val="000000"/>
        </w:rPr>
        <w:t xml:space="preserve">. </w:t>
      </w:r>
    </w:p>
    <w:p w14:paraId="63F73A3E" w14:textId="55E43E57" w:rsidR="005F2561" w:rsidRDefault="005F2561" w:rsidP="00AB58A5">
      <w:pPr>
        <w:rPr>
          <w:rFonts w:ascii="Calibri" w:eastAsia="Times New Roman" w:hAnsi="Calibri" w:cs="Calibri"/>
          <w:color w:val="000000"/>
        </w:rPr>
      </w:pPr>
      <w:r>
        <w:rPr>
          <w:rFonts w:ascii="Calibri" w:eastAsia="Times New Roman" w:hAnsi="Calibri" w:cs="Calibri"/>
          <w:color w:val="000000"/>
        </w:rPr>
        <w:t xml:space="preserve">Response:  MFA continues to evaluate the impact of this change on all projects.  </w:t>
      </w:r>
    </w:p>
    <w:p w14:paraId="2F805655" w14:textId="5A0D520A" w:rsidR="000D4412" w:rsidRDefault="000D4412" w:rsidP="00AB58A5">
      <w:pPr>
        <w:rPr>
          <w:rFonts w:ascii="Calibri" w:eastAsia="Times New Roman" w:hAnsi="Calibri" w:cs="Calibri"/>
          <w:color w:val="000000"/>
        </w:rPr>
      </w:pPr>
      <w:r>
        <w:rPr>
          <w:rFonts w:ascii="Calibri" w:eastAsia="Times New Roman" w:hAnsi="Calibri" w:cs="Calibri"/>
          <w:b/>
          <w:bCs/>
          <w:color w:val="000000"/>
        </w:rPr>
        <w:t>Comment</w:t>
      </w:r>
      <w:r>
        <w:rPr>
          <w:rFonts w:ascii="Calibri" w:eastAsia="Times New Roman" w:hAnsi="Calibri" w:cs="Calibri"/>
          <w:color w:val="000000"/>
        </w:rPr>
        <w:t>: There is an urgent need to focus on affordable housing to combat a continual rise in homelessness.</w:t>
      </w:r>
    </w:p>
    <w:p w14:paraId="4C113A40" w14:textId="0E8E8A15" w:rsidR="000D4412" w:rsidRDefault="000D4412" w:rsidP="00AB58A5">
      <w:pPr>
        <w:rPr>
          <w:rFonts w:ascii="Calibri" w:eastAsia="Times New Roman" w:hAnsi="Calibri" w:cs="Calibri"/>
          <w:color w:val="000000"/>
        </w:rPr>
      </w:pPr>
      <w:r>
        <w:rPr>
          <w:rFonts w:ascii="Calibri" w:eastAsia="Times New Roman" w:hAnsi="Calibri" w:cs="Calibri"/>
          <w:color w:val="000000"/>
        </w:rPr>
        <w:t>Response: We agree and will continue our work</w:t>
      </w:r>
      <w:r w:rsidR="008B1C8E">
        <w:rPr>
          <w:rFonts w:ascii="Calibri" w:eastAsia="Times New Roman" w:hAnsi="Calibri" w:cs="Calibri"/>
          <w:color w:val="000000"/>
        </w:rPr>
        <w:t xml:space="preserve"> to incentivize the production of units for this vulnerable population</w:t>
      </w:r>
      <w:r>
        <w:rPr>
          <w:rFonts w:ascii="Calibri" w:eastAsia="Times New Roman" w:hAnsi="Calibri" w:cs="Calibri"/>
          <w:color w:val="000000"/>
        </w:rPr>
        <w:t>.</w:t>
      </w:r>
      <w:r w:rsidR="005F2561">
        <w:rPr>
          <w:rFonts w:ascii="Calibri" w:eastAsia="Times New Roman" w:hAnsi="Calibri" w:cs="Calibri"/>
          <w:color w:val="000000"/>
        </w:rPr>
        <w:t xml:space="preserve">  The 2021 QAP includes an Underserved Population Set-aside.</w:t>
      </w:r>
    </w:p>
    <w:p w14:paraId="153FC0A2" w14:textId="3B73F371" w:rsidR="000D4412" w:rsidRDefault="000D4412" w:rsidP="000D4412">
      <w:pPr>
        <w:pStyle w:val="Heading2"/>
        <w:rPr>
          <w:b/>
          <w:bCs/>
        </w:rPr>
      </w:pPr>
      <w:bookmarkStart w:id="11" w:name="_Toc52954465"/>
      <w:r w:rsidRPr="00F075E5">
        <w:rPr>
          <w:b/>
          <w:bCs/>
        </w:rPr>
        <w:t>Rural Development</w:t>
      </w:r>
      <w:bookmarkEnd w:id="11"/>
    </w:p>
    <w:p w14:paraId="6A4F1C40" w14:textId="2D5EA113" w:rsidR="00F075E5" w:rsidRDefault="003E4E74" w:rsidP="00F075E5">
      <w:r>
        <w:rPr>
          <w:b/>
          <w:bCs/>
        </w:rPr>
        <w:t>Comment</w:t>
      </w:r>
      <w:r>
        <w:t xml:space="preserve">: Points given for “Locational Efficiency” disadvantage rural areas. The way points are allocated in </w:t>
      </w:r>
      <w:r w:rsidR="00CB0EE3">
        <w:t xml:space="preserve">general </w:t>
      </w:r>
      <w:r>
        <w:t>should put rural areas on equal footing with urban areas.</w:t>
      </w:r>
    </w:p>
    <w:p w14:paraId="29AE99E1" w14:textId="413FAB47" w:rsidR="008E0110" w:rsidRDefault="003E4E74" w:rsidP="008B1C8E">
      <w:r>
        <w:t>Response:</w:t>
      </w:r>
      <w:r w:rsidR="008B1C8E">
        <w:t xml:space="preserve"> The purpose of this change in the “Locational Efficiency” criterion is to incentive site selection in close proximity to efficient public transportation</w:t>
      </w:r>
      <w:r w:rsidR="003D28BC">
        <w:t xml:space="preserve"> for all projects</w:t>
      </w:r>
      <w:r w:rsidR="008B1C8E">
        <w:t>, so that job and amenity access can be achieved without the use of a car. There is evidence of such transportation options in both rural and urban areas</w:t>
      </w:r>
      <w:r w:rsidR="003D28BC">
        <w:t>, and the QAP contains additional points in the Other category that are not available in urban areas</w:t>
      </w:r>
      <w:r w:rsidR="008B1C8E">
        <w:t>.</w:t>
      </w:r>
      <w:r>
        <w:t xml:space="preserve"> </w:t>
      </w:r>
    </w:p>
    <w:p w14:paraId="70394EBC" w14:textId="41109AB7" w:rsidR="003E4E74" w:rsidRDefault="008E0110" w:rsidP="00F075E5">
      <w:r>
        <w:rPr>
          <w:b/>
          <w:bCs/>
        </w:rPr>
        <w:t>Comment</w:t>
      </w:r>
      <w:r>
        <w:t xml:space="preserve">: </w:t>
      </w:r>
      <w:r w:rsidR="0081683F">
        <w:t>Access to o</w:t>
      </w:r>
      <w:r>
        <w:t xml:space="preserve">n call transportation should be considered </w:t>
      </w:r>
      <w:r w:rsidR="0081683F">
        <w:t>equivalent to</w:t>
      </w:r>
      <w:r w:rsidR="006874E0">
        <w:t xml:space="preserve"> access to</w:t>
      </w:r>
      <w:r w:rsidR="0081683F">
        <w:t xml:space="preserve"> public transportation.</w:t>
      </w:r>
    </w:p>
    <w:p w14:paraId="57061FA2" w14:textId="3F2773A8" w:rsidR="0081683F" w:rsidRDefault="0081683F" w:rsidP="00F075E5">
      <w:r>
        <w:t xml:space="preserve">Response: On call transportation is not public transportation. </w:t>
      </w:r>
      <w:r w:rsidR="008B1C8E">
        <w:t xml:space="preserve">An </w:t>
      </w:r>
      <w:r>
        <w:t>on call transportation option is not equally accessible to the tenants of the project compared to public transportation</w:t>
      </w:r>
      <w:r w:rsidR="008B1C8E">
        <w:t xml:space="preserve">, nor is it </w:t>
      </w:r>
      <w:r w:rsidR="000D1F3D">
        <w:t>equally accessible to the public to access the property. There is a caveat made for tribal projects utilizing “on call” transportation as their “public” transportation option.</w:t>
      </w:r>
    </w:p>
    <w:p w14:paraId="7899C60A" w14:textId="77777777" w:rsidR="00EB5617" w:rsidRDefault="00EB5617" w:rsidP="00EB5617">
      <w:r>
        <w:rPr>
          <w:b/>
          <w:bCs/>
        </w:rPr>
        <w:t>Comment</w:t>
      </w:r>
      <w:r>
        <w:t>: The timeframe (from 6 AM to 6 PM) that public transportation must run at to receive points for “Locational Efficiency” should be changed.</w:t>
      </w:r>
    </w:p>
    <w:p w14:paraId="3222B580" w14:textId="12E55AEE" w:rsidR="00EB5617" w:rsidRDefault="00EB5617" w:rsidP="00F075E5">
      <w:r>
        <w:lastRenderedPageBreak/>
        <w:t xml:space="preserve">Response: </w:t>
      </w:r>
      <w:r w:rsidR="003D28BC">
        <w:t xml:space="preserve">Agreed. </w:t>
      </w:r>
      <w:r>
        <w:t>The timeframe during which public transportation is offered will no longer be considered</w:t>
      </w:r>
      <w:r w:rsidR="000D1F3D">
        <w:t>, but frequency must still be in place.</w:t>
      </w:r>
    </w:p>
    <w:p w14:paraId="2CB612A1" w14:textId="5177E624" w:rsidR="00CB0EE3" w:rsidRDefault="00CB0EE3" w:rsidP="00F075E5">
      <w:r>
        <w:rPr>
          <w:b/>
          <w:bCs/>
        </w:rPr>
        <w:t>Comment</w:t>
      </w:r>
      <w:r>
        <w:t>: Rural markets do not have the same levels of access to development resources that urban markets do. Rural markets should be further subsidized.</w:t>
      </w:r>
    </w:p>
    <w:p w14:paraId="7FC4C772" w14:textId="36679BBF" w:rsidR="00CB0EE3" w:rsidRDefault="00CB0EE3" w:rsidP="00F075E5">
      <w:r>
        <w:t xml:space="preserve">Response: </w:t>
      </w:r>
      <w:r w:rsidR="003D28BC">
        <w:t xml:space="preserve">MFA looks for </w:t>
      </w:r>
      <w:r>
        <w:t>additional funding sources for rural projects in particular</w:t>
      </w:r>
      <w:r w:rsidR="00DB0E14">
        <w:t xml:space="preserve"> </w:t>
      </w:r>
      <w:r w:rsidR="003D28BC">
        <w:t xml:space="preserve">and will continue to do so. </w:t>
      </w:r>
    </w:p>
    <w:p w14:paraId="17FEC07C" w14:textId="77777777" w:rsidR="00EB5617" w:rsidRDefault="00EB5617" w:rsidP="00EB5617">
      <w:r>
        <w:rPr>
          <w:b/>
          <w:bCs/>
        </w:rPr>
        <w:t>Comment</w:t>
      </w:r>
      <w:r>
        <w:t>: Roswell should not be considered an urban area in the QAP.</w:t>
      </w:r>
    </w:p>
    <w:p w14:paraId="232B018E" w14:textId="71F005E5" w:rsidR="00EB5617" w:rsidRDefault="00EB5617" w:rsidP="00EB5617">
      <w:r>
        <w:t xml:space="preserve">Response: </w:t>
      </w:r>
      <w:r w:rsidR="003D28BC">
        <w:t xml:space="preserve"> MFA uses an agency-wide definition of urban for consistency.  We will review for the 2022 QAP. </w:t>
      </w:r>
    </w:p>
    <w:p w14:paraId="2D2B7F46" w14:textId="6E998F1A" w:rsidR="00EB5617" w:rsidRPr="00EB5617" w:rsidRDefault="00EB5617" w:rsidP="00EB5617">
      <w:pPr>
        <w:pStyle w:val="Heading2"/>
        <w:rPr>
          <w:b/>
          <w:bCs/>
        </w:rPr>
      </w:pPr>
      <w:bookmarkStart w:id="12" w:name="_Toc52954466"/>
      <w:r w:rsidRPr="00EB5617">
        <w:rPr>
          <w:b/>
          <w:bCs/>
        </w:rPr>
        <w:t>Set-Aside</w:t>
      </w:r>
      <w:bookmarkEnd w:id="12"/>
    </w:p>
    <w:p w14:paraId="3395E1A8" w14:textId="084BD8CB" w:rsidR="00EB5617" w:rsidRDefault="0004440E" w:rsidP="00F075E5">
      <w:r>
        <w:rPr>
          <w:b/>
          <w:bCs/>
        </w:rPr>
        <w:t>Comment</w:t>
      </w:r>
      <w:r>
        <w:t>: Add projects with 100% P</w:t>
      </w:r>
      <w:r w:rsidR="003D28BC">
        <w:t xml:space="preserve">roject </w:t>
      </w:r>
      <w:r>
        <w:t>B</w:t>
      </w:r>
      <w:r w:rsidR="003D28BC">
        <w:t xml:space="preserve">ased </w:t>
      </w:r>
      <w:r>
        <w:t>V</w:t>
      </w:r>
      <w:r w:rsidR="003D28BC">
        <w:t>ouchers</w:t>
      </w:r>
      <w:r>
        <w:t xml:space="preserve"> to set-aside.</w:t>
      </w:r>
    </w:p>
    <w:p w14:paraId="7B136BD3" w14:textId="3B67441C" w:rsidR="0004440E" w:rsidRDefault="0004440E" w:rsidP="00F075E5">
      <w:r>
        <w:t xml:space="preserve">Response: </w:t>
      </w:r>
      <w:r w:rsidR="000D1F3D">
        <w:t>T</w:t>
      </w:r>
      <w:r>
        <w:t>he Permanent Housing Set-aside (PSH)</w:t>
      </w:r>
      <w:r w:rsidR="000D1F3D">
        <w:t xml:space="preserve"> incentivizes projects with at least 75% PBVs</w:t>
      </w:r>
      <w:r w:rsidR="00DB0E14">
        <w:t>.</w:t>
      </w:r>
    </w:p>
    <w:p w14:paraId="1A1CB994" w14:textId="0FB31582" w:rsidR="0004440E" w:rsidRDefault="0004440E" w:rsidP="00F075E5">
      <w:r>
        <w:rPr>
          <w:b/>
          <w:bCs/>
        </w:rPr>
        <w:t>Comment</w:t>
      </w:r>
      <w:r>
        <w:t>: I am happy about the available set-aside options.</w:t>
      </w:r>
    </w:p>
    <w:p w14:paraId="644CE282" w14:textId="1FA29636" w:rsidR="0004440E" w:rsidRDefault="0004440E" w:rsidP="00F075E5">
      <w:r>
        <w:t>Response: Thank you.</w:t>
      </w:r>
    </w:p>
    <w:p w14:paraId="3B694725" w14:textId="102B586B" w:rsidR="0004440E" w:rsidRPr="0004440E" w:rsidRDefault="0004440E" w:rsidP="0004440E">
      <w:pPr>
        <w:pStyle w:val="Heading2"/>
        <w:rPr>
          <w:b/>
          <w:bCs/>
        </w:rPr>
      </w:pPr>
      <w:bookmarkStart w:id="13" w:name="_Toc52954467"/>
      <w:r w:rsidRPr="0004440E">
        <w:rPr>
          <w:b/>
          <w:bCs/>
        </w:rPr>
        <w:t>Sustaining Affordability</w:t>
      </w:r>
      <w:bookmarkEnd w:id="13"/>
    </w:p>
    <w:p w14:paraId="6BA2A131" w14:textId="5BA9EFC6" w:rsidR="00747BE8" w:rsidRDefault="00747BE8" w:rsidP="00747BE8">
      <w:pPr>
        <w:rPr>
          <w:rFonts w:ascii="Calibri" w:eastAsia="Times New Roman" w:hAnsi="Calibri" w:cs="Calibri"/>
          <w:color w:val="000000"/>
        </w:rPr>
      </w:pPr>
      <w:r>
        <w:rPr>
          <w:b/>
          <w:bCs/>
        </w:rPr>
        <w:t>Comment</w:t>
      </w:r>
      <w:r>
        <w:t xml:space="preserve">: </w:t>
      </w:r>
      <w:r w:rsidRPr="00747BE8">
        <w:rPr>
          <w:rFonts w:ascii="Calibri" w:eastAsia="Times New Roman" w:hAnsi="Calibri" w:cs="Calibri"/>
          <w:color w:val="000000"/>
        </w:rPr>
        <w:t>Public housing projects converting to</w:t>
      </w:r>
      <w:r>
        <w:rPr>
          <w:rFonts w:ascii="Calibri" w:eastAsia="Times New Roman" w:hAnsi="Calibri" w:cs="Calibri"/>
          <w:color w:val="000000"/>
        </w:rPr>
        <w:t xml:space="preserve"> a</w:t>
      </w:r>
      <w:r w:rsidRPr="00747BE8">
        <w:rPr>
          <w:rFonts w:ascii="Calibri" w:eastAsia="Times New Roman" w:hAnsi="Calibri" w:cs="Calibri"/>
          <w:color w:val="000000"/>
        </w:rPr>
        <w:t xml:space="preserve"> project-based subsidy through RAD should be considered a new federal rental assistance contract and eligible for the full 15 points. </w:t>
      </w:r>
    </w:p>
    <w:p w14:paraId="21606C7A" w14:textId="0D5409CB" w:rsidR="00747BE8" w:rsidRDefault="00747BE8" w:rsidP="00747BE8">
      <w:pPr>
        <w:rPr>
          <w:rFonts w:ascii="Calibri" w:eastAsia="Times New Roman" w:hAnsi="Calibri" w:cs="Calibri"/>
          <w:color w:val="000000"/>
        </w:rPr>
      </w:pPr>
      <w:r>
        <w:rPr>
          <w:rFonts w:ascii="Calibri" w:eastAsia="Times New Roman" w:hAnsi="Calibri" w:cs="Calibri"/>
          <w:color w:val="000000"/>
        </w:rPr>
        <w:t>Response: This suggestion warrants further investigation</w:t>
      </w:r>
      <w:r w:rsidR="000D1F3D">
        <w:rPr>
          <w:rFonts w:ascii="Calibri" w:eastAsia="Times New Roman" w:hAnsi="Calibri" w:cs="Calibri"/>
          <w:color w:val="000000"/>
        </w:rPr>
        <w:t xml:space="preserve"> in preparation for the 2022 QAP</w:t>
      </w:r>
      <w:r w:rsidR="009B2D8F">
        <w:rPr>
          <w:rFonts w:ascii="Calibri" w:eastAsia="Times New Roman" w:hAnsi="Calibri" w:cs="Calibri"/>
          <w:color w:val="000000"/>
        </w:rPr>
        <w:t>.</w:t>
      </w:r>
      <w:bookmarkStart w:id="14" w:name="_GoBack"/>
      <w:bookmarkEnd w:id="14"/>
    </w:p>
    <w:p w14:paraId="58011E98" w14:textId="46C13F53" w:rsidR="00747BE8" w:rsidRDefault="00747BE8" w:rsidP="00747BE8">
      <w:pPr>
        <w:pStyle w:val="Heading2"/>
        <w:rPr>
          <w:rFonts w:eastAsia="Times New Roman"/>
          <w:b/>
          <w:bCs/>
        </w:rPr>
      </w:pPr>
      <w:bookmarkStart w:id="15" w:name="_Toc52954468"/>
      <w:r w:rsidRPr="00747BE8">
        <w:rPr>
          <w:rFonts w:eastAsia="Times New Roman"/>
          <w:b/>
          <w:bCs/>
        </w:rPr>
        <w:t>Timeline</w:t>
      </w:r>
      <w:bookmarkEnd w:id="15"/>
    </w:p>
    <w:p w14:paraId="7EA74078" w14:textId="586C8D08" w:rsidR="00747BE8" w:rsidRDefault="00747BE8" w:rsidP="00747BE8">
      <w:r>
        <w:rPr>
          <w:b/>
          <w:bCs/>
        </w:rPr>
        <w:t>Comment</w:t>
      </w:r>
      <w:r>
        <w:t>: Do not make significant changes to the QAP after the public comment period because further discussions cannot occur.</w:t>
      </w:r>
    </w:p>
    <w:p w14:paraId="54A9B81C" w14:textId="058E9049" w:rsidR="00747BE8" w:rsidRDefault="00747BE8" w:rsidP="00747BE8">
      <w:r>
        <w:t xml:space="preserve">Response: The public comment period is meant to solicit ideas from fresh perspectives that result in changes to the QAP. However, </w:t>
      </w:r>
      <w:r w:rsidR="0062101A">
        <w:t xml:space="preserve">having a second public comment period </w:t>
      </w:r>
      <w:r w:rsidR="000D1F3D">
        <w:t xml:space="preserve">or another method of feedback </w:t>
      </w:r>
      <w:r w:rsidR="0062101A">
        <w:t>is an idea we will consider.</w:t>
      </w:r>
    </w:p>
    <w:p w14:paraId="5DCB5805" w14:textId="58E8721D" w:rsidR="0062101A" w:rsidRDefault="0062101A" w:rsidP="00747BE8">
      <w:r>
        <w:rPr>
          <w:b/>
          <w:bCs/>
        </w:rPr>
        <w:t>Comment</w:t>
      </w:r>
      <w:r>
        <w:t>: Move the QAP’s application date and award date.</w:t>
      </w:r>
    </w:p>
    <w:p w14:paraId="686EA31E" w14:textId="63F02BF2" w:rsidR="0062101A" w:rsidRPr="0062101A" w:rsidRDefault="0062101A" w:rsidP="00747BE8">
      <w:r>
        <w:t>Response: The QAP’s application date is being moved up by a month, from February 14</w:t>
      </w:r>
      <w:r w:rsidRPr="0062101A">
        <w:rPr>
          <w:vertAlign w:val="superscript"/>
        </w:rPr>
        <w:t>th</w:t>
      </w:r>
      <w:r>
        <w:t xml:space="preserve"> to January 15</w:t>
      </w:r>
      <w:r w:rsidRPr="0062101A">
        <w:rPr>
          <w:vertAlign w:val="superscript"/>
        </w:rPr>
        <w:t>th</w:t>
      </w:r>
      <w:r>
        <w:t>. The award date is also being moved up by a month, from June to May.</w:t>
      </w:r>
    </w:p>
    <w:p w14:paraId="7B59E117" w14:textId="14B1CA10" w:rsidR="00B8606F" w:rsidRDefault="00B8606F" w:rsidP="00B8606F">
      <w:pPr>
        <w:rPr>
          <w:rFonts w:ascii="Calibri" w:eastAsia="Times New Roman" w:hAnsi="Calibri" w:cs="Calibri"/>
          <w:color w:val="000000"/>
        </w:rPr>
      </w:pPr>
      <w:r>
        <w:rPr>
          <w:rFonts w:ascii="Calibri" w:eastAsia="Times New Roman" w:hAnsi="Calibri" w:cs="Calibri"/>
          <w:b/>
          <w:bCs/>
          <w:color w:val="000000"/>
        </w:rPr>
        <w:t>Comment</w:t>
      </w:r>
      <w:r>
        <w:rPr>
          <w:rFonts w:ascii="Calibri" w:eastAsia="Times New Roman" w:hAnsi="Calibri" w:cs="Calibri"/>
          <w:color w:val="000000"/>
        </w:rPr>
        <w:t xml:space="preserve">: Should </w:t>
      </w:r>
      <w:r w:rsidRPr="00B8606F">
        <w:rPr>
          <w:rFonts w:ascii="Calibri" w:eastAsia="Times New Roman" w:hAnsi="Calibri" w:cs="Calibri"/>
          <w:color w:val="000000"/>
        </w:rPr>
        <w:t>Zoning and Concerted Community Revitalization Plans require a six-month lead time</w:t>
      </w:r>
      <w:r>
        <w:rPr>
          <w:rFonts w:ascii="Calibri" w:eastAsia="Times New Roman" w:hAnsi="Calibri" w:cs="Calibri"/>
          <w:color w:val="000000"/>
        </w:rPr>
        <w:t xml:space="preserve"> to qualify as such in the QAP?</w:t>
      </w:r>
    </w:p>
    <w:p w14:paraId="08D70DD5" w14:textId="70419439" w:rsidR="00943952" w:rsidRDefault="00B8606F">
      <w:r>
        <w:rPr>
          <w:rFonts w:ascii="Calibri" w:eastAsia="Times New Roman" w:hAnsi="Calibri" w:cs="Calibri"/>
          <w:color w:val="000000"/>
        </w:rPr>
        <w:t xml:space="preserve">Response: </w:t>
      </w:r>
      <w:r w:rsidR="00B200DB">
        <w:rPr>
          <w:rFonts w:ascii="Calibri" w:eastAsia="Times New Roman" w:hAnsi="Calibri" w:cs="Calibri"/>
          <w:color w:val="000000"/>
        </w:rPr>
        <w:t>A change has been made in the 2021 QAP</w:t>
      </w:r>
      <w:r w:rsidR="000D1F3D">
        <w:rPr>
          <w:rFonts w:ascii="Calibri" w:eastAsia="Times New Roman" w:hAnsi="Calibri" w:cs="Calibri"/>
          <w:color w:val="000000"/>
        </w:rPr>
        <w:t xml:space="preserve">. </w:t>
      </w:r>
      <w:r>
        <w:rPr>
          <w:rFonts w:ascii="Calibri" w:eastAsia="Times New Roman" w:hAnsi="Calibri" w:cs="Calibri"/>
          <w:color w:val="000000"/>
        </w:rPr>
        <w:t>Concerted Community Revitalization Plans no longer require a six-month lead time. For Zoning, the requirement is to provide proof that the proposed project site does not prohibit multifamily housing</w:t>
      </w:r>
      <w:r w:rsidR="000D1F3D">
        <w:rPr>
          <w:rFonts w:ascii="Calibri" w:eastAsia="Times New Roman" w:hAnsi="Calibri" w:cs="Calibri"/>
          <w:color w:val="000000"/>
        </w:rPr>
        <w:t xml:space="preserve"> and that proof needs to be </w:t>
      </w:r>
      <w:r>
        <w:rPr>
          <w:rFonts w:ascii="Calibri" w:eastAsia="Times New Roman" w:hAnsi="Calibri" w:cs="Calibri"/>
          <w:color w:val="000000"/>
        </w:rPr>
        <w:t xml:space="preserve">less than six months old. This is a reasonable requirement because it is likely that a developer already has evidence of approved zoning; the QAP is only requiring that the approval </w:t>
      </w:r>
      <w:r w:rsidR="00DF63D4">
        <w:rPr>
          <w:rFonts w:ascii="Calibri" w:eastAsia="Times New Roman" w:hAnsi="Calibri" w:cs="Calibri"/>
          <w:color w:val="000000"/>
        </w:rPr>
        <w:t>be</w:t>
      </w:r>
      <w:r>
        <w:rPr>
          <w:rFonts w:ascii="Calibri" w:eastAsia="Times New Roman" w:hAnsi="Calibri" w:cs="Calibri"/>
          <w:color w:val="000000"/>
        </w:rPr>
        <w:t xml:space="preserve"> current.</w:t>
      </w:r>
    </w:p>
    <w:sectPr w:rsidR="009439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AAAD1" w14:textId="77777777" w:rsidR="00DB0E14" w:rsidRDefault="00DB0E14" w:rsidP="00DB0E14">
      <w:pPr>
        <w:spacing w:after="0" w:line="240" w:lineRule="auto"/>
      </w:pPr>
      <w:r>
        <w:separator/>
      </w:r>
    </w:p>
  </w:endnote>
  <w:endnote w:type="continuationSeparator" w:id="0">
    <w:p w14:paraId="390A1EBF" w14:textId="77777777" w:rsidR="00DB0E14" w:rsidRDefault="00DB0E14" w:rsidP="00DB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9E502" w14:textId="77777777" w:rsidR="00DB0E14" w:rsidRDefault="00DB0E14" w:rsidP="00DB0E14">
      <w:pPr>
        <w:spacing w:after="0" w:line="240" w:lineRule="auto"/>
      </w:pPr>
      <w:r>
        <w:separator/>
      </w:r>
    </w:p>
  </w:footnote>
  <w:footnote w:type="continuationSeparator" w:id="0">
    <w:p w14:paraId="7E02CF8B" w14:textId="77777777" w:rsidR="00DB0E14" w:rsidRDefault="00DB0E14" w:rsidP="00DB0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52"/>
    <w:rsid w:val="0004440E"/>
    <w:rsid w:val="00044716"/>
    <w:rsid w:val="00051E7F"/>
    <w:rsid w:val="000D1F3D"/>
    <w:rsid w:val="000D4412"/>
    <w:rsid w:val="001061DB"/>
    <w:rsid w:val="00162B11"/>
    <w:rsid w:val="0016734F"/>
    <w:rsid w:val="001B42EB"/>
    <w:rsid w:val="001F26E4"/>
    <w:rsid w:val="0020712E"/>
    <w:rsid w:val="00214B82"/>
    <w:rsid w:val="002A7722"/>
    <w:rsid w:val="002B0DF1"/>
    <w:rsid w:val="003339F4"/>
    <w:rsid w:val="003621E9"/>
    <w:rsid w:val="00367C52"/>
    <w:rsid w:val="003772C2"/>
    <w:rsid w:val="003952CC"/>
    <w:rsid w:val="003D28BC"/>
    <w:rsid w:val="003E4E74"/>
    <w:rsid w:val="003F46AB"/>
    <w:rsid w:val="00420545"/>
    <w:rsid w:val="00420A21"/>
    <w:rsid w:val="0051439D"/>
    <w:rsid w:val="00545192"/>
    <w:rsid w:val="00561890"/>
    <w:rsid w:val="00565D34"/>
    <w:rsid w:val="00590975"/>
    <w:rsid w:val="005F2561"/>
    <w:rsid w:val="005F311E"/>
    <w:rsid w:val="0062101A"/>
    <w:rsid w:val="006402EF"/>
    <w:rsid w:val="006508EB"/>
    <w:rsid w:val="00663E75"/>
    <w:rsid w:val="006661A8"/>
    <w:rsid w:val="006874E0"/>
    <w:rsid w:val="007007D9"/>
    <w:rsid w:val="007435A6"/>
    <w:rsid w:val="00747BE8"/>
    <w:rsid w:val="00773A2B"/>
    <w:rsid w:val="007964DA"/>
    <w:rsid w:val="007C3BC7"/>
    <w:rsid w:val="0081683F"/>
    <w:rsid w:val="00844704"/>
    <w:rsid w:val="008A25E9"/>
    <w:rsid w:val="008B1C8E"/>
    <w:rsid w:val="008E0110"/>
    <w:rsid w:val="008F2E90"/>
    <w:rsid w:val="008F5D63"/>
    <w:rsid w:val="009155BA"/>
    <w:rsid w:val="00915B97"/>
    <w:rsid w:val="00924DA3"/>
    <w:rsid w:val="00941F8F"/>
    <w:rsid w:val="00943952"/>
    <w:rsid w:val="00943DE2"/>
    <w:rsid w:val="009527DD"/>
    <w:rsid w:val="009B2D8F"/>
    <w:rsid w:val="009B58B9"/>
    <w:rsid w:val="00A11FE0"/>
    <w:rsid w:val="00A41A4B"/>
    <w:rsid w:val="00A61A09"/>
    <w:rsid w:val="00AA222C"/>
    <w:rsid w:val="00AB0A7B"/>
    <w:rsid w:val="00AB58A5"/>
    <w:rsid w:val="00AB7A01"/>
    <w:rsid w:val="00B02D56"/>
    <w:rsid w:val="00B0618F"/>
    <w:rsid w:val="00B14BB0"/>
    <w:rsid w:val="00B200DB"/>
    <w:rsid w:val="00B33E93"/>
    <w:rsid w:val="00B45878"/>
    <w:rsid w:val="00B8606F"/>
    <w:rsid w:val="00BB05AB"/>
    <w:rsid w:val="00C20D68"/>
    <w:rsid w:val="00C67E9F"/>
    <w:rsid w:val="00C97BC1"/>
    <w:rsid w:val="00CB0EE3"/>
    <w:rsid w:val="00DB0E14"/>
    <w:rsid w:val="00DF63D4"/>
    <w:rsid w:val="00E05A17"/>
    <w:rsid w:val="00E76029"/>
    <w:rsid w:val="00EB5617"/>
    <w:rsid w:val="00F075E5"/>
    <w:rsid w:val="00F642D5"/>
    <w:rsid w:val="00F6492F"/>
    <w:rsid w:val="00FC67A3"/>
    <w:rsid w:val="00FF17BC"/>
    <w:rsid w:val="00F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9DEF"/>
  <w15:chartTrackingRefBased/>
  <w15:docId w15:val="{65118BE3-9DFC-48BC-8A43-D7EACF53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8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39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95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6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E9F"/>
    <w:rPr>
      <w:rFonts w:ascii="Segoe UI" w:hAnsi="Segoe UI" w:cs="Segoe UI"/>
      <w:sz w:val="18"/>
      <w:szCs w:val="18"/>
    </w:rPr>
  </w:style>
  <w:style w:type="character" w:customStyle="1" w:styleId="Heading1Char">
    <w:name w:val="Heading 1 Char"/>
    <w:basedOn w:val="DefaultParagraphFont"/>
    <w:link w:val="Heading1"/>
    <w:uiPriority w:val="9"/>
    <w:rsid w:val="006508E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508EB"/>
    <w:pPr>
      <w:outlineLvl w:val="9"/>
    </w:pPr>
  </w:style>
  <w:style w:type="paragraph" w:styleId="TOC2">
    <w:name w:val="toc 2"/>
    <w:basedOn w:val="Normal"/>
    <w:next w:val="Normal"/>
    <w:autoRedefine/>
    <w:uiPriority w:val="39"/>
    <w:unhideWhenUsed/>
    <w:rsid w:val="006508EB"/>
    <w:pPr>
      <w:spacing w:after="100"/>
      <w:ind w:left="220"/>
    </w:pPr>
  </w:style>
  <w:style w:type="character" w:styleId="Hyperlink">
    <w:name w:val="Hyperlink"/>
    <w:basedOn w:val="DefaultParagraphFont"/>
    <w:uiPriority w:val="99"/>
    <w:unhideWhenUsed/>
    <w:rsid w:val="006508EB"/>
    <w:rPr>
      <w:color w:val="0563C1" w:themeColor="hyperlink"/>
      <w:u w:val="single"/>
    </w:rPr>
  </w:style>
  <w:style w:type="character" w:styleId="CommentReference">
    <w:name w:val="annotation reference"/>
    <w:basedOn w:val="DefaultParagraphFont"/>
    <w:uiPriority w:val="99"/>
    <w:semiHidden/>
    <w:unhideWhenUsed/>
    <w:rsid w:val="00B0618F"/>
    <w:rPr>
      <w:sz w:val="16"/>
      <w:szCs w:val="16"/>
    </w:rPr>
  </w:style>
  <w:style w:type="paragraph" w:styleId="CommentText">
    <w:name w:val="annotation text"/>
    <w:basedOn w:val="Normal"/>
    <w:link w:val="CommentTextChar"/>
    <w:uiPriority w:val="99"/>
    <w:semiHidden/>
    <w:unhideWhenUsed/>
    <w:rsid w:val="00B0618F"/>
    <w:pPr>
      <w:spacing w:line="240" w:lineRule="auto"/>
    </w:pPr>
    <w:rPr>
      <w:sz w:val="20"/>
      <w:szCs w:val="20"/>
    </w:rPr>
  </w:style>
  <w:style w:type="character" w:customStyle="1" w:styleId="CommentTextChar">
    <w:name w:val="Comment Text Char"/>
    <w:basedOn w:val="DefaultParagraphFont"/>
    <w:link w:val="CommentText"/>
    <w:uiPriority w:val="99"/>
    <w:semiHidden/>
    <w:rsid w:val="00B0618F"/>
    <w:rPr>
      <w:sz w:val="20"/>
      <w:szCs w:val="20"/>
    </w:rPr>
  </w:style>
  <w:style w:type="paragraph" w:styleId="CommentSubject">
    <w:name w:val="annotation subject"/>
    <w:basedOn w:val="CommentText"/>
    <w:next w:val="CommentText"/>
    <w:link w:val="CommentSubjectChar"/>
    <w:uiPriority w:val="99"/>
    <w:semiHidden/>
    <w:unhideWhenUsed/>
    <w:rsid w:val="00B0618F"/>
    <w:rPr>
      <w:b/>
      <w:bCs/>
    </w:rPr>
  </w:style>
  <w:style w:type="character" w:customStyle="1" w:styleId="CommentSubjectChar">
    <w:name w:val="Comment Subject Char"/>
    <w:basedOn w:val="CommentTextChar"/>
    <w:link w:val="CommentSubject"/>
    <w:uiPriority w:val="99"/>
    <w:semiHidden/>
    <w:rsid w:val="00B0618F"/>
    <w:rPr>
      <w:b/>
      <w:bCs/>
      <w:sz w:val="20"/>
      <w:szCs w:val="20"/>
    </w:rPr>
  </w:style>
  <w:style w:type="paragraph" w:styleId="Header">
    <w:name w:val="header"/>
    <w:basedOn w:val="Normal"/>
    <w:link w:val="HeaderChar"/>
    <w:uiPriority w:val="99"/>
    <w:unhideWhenUsed/>
    <w:rsid w:val="00DB0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E14"/>
  </w:style>
  <w:style w:type="paragraph" w:styleId="Footer">
    <w:name w:val="footer"/>
    <w:basedOn w:val="Normal"/>
    <w:link w:val="FooterChar"/>
    <w:uiPriority w:val="99"/>
    <w:unhideWhenUsed/>
    <w:rsid w:val="00DB0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17517">
      <w:bodyDiv w:val="1"/>
      <w:marLeft w:val="0"/>
      <w:marRight w:val="0"/>
      <w:marTop w:val="0"/>
      <w:marBottom w:val="0"/>
      <w:divBdr>
        <w:top w:val="none" w:sz="0" w:space="0" w:color="auto"/>
        <w:left w:val="none" w:sz="0" w:space="0" w:color="auto"/>
        <w:bottom w:val="none" w:sz="0" w:space="0" w:color="auto"/>
        <w:right w:val="none" w:sz="0" w:space="0" w:color="auto"/>
      </w:divBdr>
    </w:div>
    <w:div w:id="626474701">
      <w:bodyDiv w:val="1"/>
      <w:marLeft w:val="0"/>
      <w:marRight w:val="0"/>
      <w:marTop w:val="0"/>
      <w:marBottom w:val="0"/>
      <w:divBdr>
        <w:top w:val="none" w:sz="0" w:space="0" w:color="auto"/>
        <w:left w:val="none" w:sz="0" w:space="0" w:color="auto"/>
        <w:bottom w:val="none" w:sz="0" w:space="0" w:color="auto"/>
        <w:right w:val="none" w:sz="0" w:space="0" w:color="auto"/>
      </w:divBdr>
    </w:div>
    <w:div w:id="858931269">
      <w:bodyDiv w:val="1"/>
      <w:marLeft w:val="0"/>
      <w:marRight w:val="0"/>
      <w:marTop w:val="0"/>
      <w:marBottom w:val="0"/>
      <w:divBdr>
        <w:top w:val="none" w:sz="0" w:space="0" w:color="auto"/>
        <w:left w:val="none" w:sz="0" w:space="0" w:color="auto"/>
        <w:bottom w:val="none" w:sz="0" w:space="0" w:color="auto"/>
        <w:right w:val="none" w:sz="0" w:space="0" w:color="auto"/>
      </w:divBdr>
    </w:div>
    <w:div w:id="1169752672">
      <w:bodyDiv w:val="1"/>
      <w:marLeft w:val="0"/>
      <w:marRight w:val="0"/>
      <w:marTop w:val="0"/>
      <w:marBottom w:val="0"/>
      <w:divBdr>
        <w:top w:val="none" w:sz="0" w:space="0" w:color="auto"/>
        <w:left w:val="none" w:sz="0" w:space="0" w:color="auto"/>
        <w:bottom w:val="none" w:sz="0" w:space="0" w:color="auto"/>
        <w:right w:val="none" w:sz="0" w:space="0" w:color="auto"/>
      </w:divBdr>
    </w:div>
    <w:div w:id="2052731027">
      <w:bodyDiv w:val="1"/>
      <w:marLeft w:val="0"/>
      <w:marRight w:val="0"/>
      <w:marTop w:val="0"/>
      <w:marBottom w:val="0"/>
      <w:divBdr>
        <w:top w:val="none" w:sz="0" w:space="0" w:color="auto"/>
        <w:left w:val="none" w:sz="0" w:space="0" w:color="auto"/>
        <w:bottom w:val="none" w:sz="0" w:space="0" w:color="auto"/>
        <w:right w:val="none" w:sz="0" w:space="0" w:color="auto"/>
      </w:divBdr>
    </w:div>
    <w:div w:id="20911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E0B86-C8A2-44B8-93B7-9A95EF31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Carmona</dc:creator>
  <cp:keywords/>
  <dc:description/>
  <cp:lastModifiedBy>Kathryn Turner</cp:lastModifiedBy>
  <cp:revision>4</cp:revision>
  <dcterms:created xsi:type="dcterms:W3CDTF">2020-10-07T15:14:00Z</dcterms:created>
  <dcterms:modified xsi:type="dcterms:W3CDTF">2020-10-13T22:15:00Z</dcterms:modified>
</cp:coreProperties>
</file>