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865632" w14:textId="77777777" w:rsidR="00D236F0" w:rsidRDefault="00D236F0" w:rsidP="00EF78D1">
      <w:pPr>
        <w:jc w:val="center"/>
        <w:rPr>
          <w:rFonts w:ascii="Lato Light" w:hAnsi="Lato Light"/>
          <w:sz w:val="28"/>
          <w:szCs w:val="28"/>
        </w:rPr>
      </w:pPr>
      <w:r>
        <w:rPr>
          <w:noProof/>
        </w:rPr>
        <w:drawing>
          <wp:inline distT="0" distB="0" distL="0" distR="0" wp14:anchorId="59C4CD51" wp14:editId="7604C6C3">
            <wp:extent cx="1828800" cy="1828800"/>
            <wp:effectExtent l="0" t="0" r="0" b="0"/>
            <wp:docPr id="2078176674" name="Picture 1" descr="A logo for housing new mex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8176674" name="Picture 1" descr="A logo for housing new mexic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14:paraId="208804D5" w14:textId="459BCDF4" w:rsidR="00E57734" w:rsidRDefault="00E57734" w:rsidP="003609D6">
      <w:pPr>
        <w:spacing w:after="0"/>
        <w:jc w:val="center"/>
        <w:rPr>
          <w:rFonts w:ascii="Lato Light" w:hAnsi="Lato Light"/>
          <w:sz w:val="36"/>
          <w:szCs w:val="36"/>
        </w:rPr>
      </w:pPr>
      <w:r>
        <w:rPr>
          <w:rFonts w:ascii="Lato Light" w:hAnsi="Lato Light"/>
          <w:sz w:val="36"/>
          <w:szCs w:val="36"/>
        </w:rPr>
        <w:t>Tax-</w:t>
      </w:r>
      <w:r w:rsidR="00471E64">
        <w:rPr>
          <w:rFonts w:ascii="Lato Light" w:hAnsi="Lato Light"/>
          <w:sz w:val="36"/>
          <w:szCs w:val="36"/>
        </w:rPr>
        <w:t>e</w:t>
      </w:r>
      <w:r>
        <w:rPr>
          <w:rFonts w:ascii="Lato Light" w:hAnsi="Lato Light"/>
          <w:sz w:val="36"/>
          <w:szCs w:val="36"/>
        </w:rPr>
        <w:t xml:space="preserve">xempt </w:t>
      </w:r>
      <w:r w:rsidR="00B64D02" w:rsidRPr="00681AED">
        <w:rPr>
          <w:rFonts w:ascii="Lato Light" w:hAnsi="Lato Light"/>
          <w:sz w:val="36"/>
          <w:szCs w:val="36"/>
        </w:rPr>
        <w:t>Bond Financing for Multi-family Rental Development</w:t>
      </w:r>
    </w:p>
    <w:p w14:paraId="065813AA" w14:textId="050EB6D0" w:rsidR="00B64D02" w:rsidRPr="003609D6" w:rsidRDefault="00E57734" w:rsidP="003609D6">
      <w:pPr>
        <w:spacing w:after="240"/>
        <w:jc w:val="center"/>
        <w:rPr>
          <w:rFonts w:ascii="Lato Light" w:hAnsi="Lato Light"/>
          <w:sz w:val="28"/>
          <w:szCs w:val="28"/>
        </w:rPr>
      </w:pPr>
      <w:r w:rsidRPr="003609D6">
        <w:rPr>
          <w:rFonts w:ascii="Lato Light" w:hAnsi="Lato Light"/>
          <w:sz w:val="28"/>
          <w:szCs w:val="28"/>
        </w:rPr>
        <w:t>(in conjunction with 4% LIHTC)</w:t>
      </w:r>
    </w:p>
    <w:p w14:paraId="63C00BED" w14:textId="2FEBB2D3" w:rsidR="00EF78D1" w:rsidRPr="00681AED" w:rsidRDefault="00B64D02" w:rsidP="00681AED">
      <w:pPr>
        <w:jc w:val="center"/>
        <w:rPr>
          <w:sz w:val="20"/>
          <w:szCs w:val="20"/>
        </w:rPr>
      </w:pPr>
      <w:r w:rsidRPr="00681AED">
        <w:rPr>
          <w:sz w:val="20"/>
          <w:szCs w:val="20"/>
        </w:rPr>
        <w:t xml:space="preserve">Last Updated: </w:t>
      </w:r>
      <w:r w:rsidR="004E08AC">
        <w:rPr>
          <w:sz w:val="20"/>
          <w:szCs w:val="20"/>
        </w:rPr>
        <w:t>July</w:t>
      </w:r>
      <w:r w:rsidR="00D236F0" w:rsidRPr="00681AED">
        <w:rPr>
          <w:sz w:val="20"/>
          <w:szCs w:val="20"/>
        </w:rPr>
        <w:t xml:space="preserve"> </w:t>
      </w:r>
      <w:r w:rsidR="00FB625D">
        <w:rPr>
          <w:sz w:val="20"/>
          <w:szCs w:val="20"/>
        </w:rPr>
        <w:t xml:space="preserve">18, </w:t>
      </w:r>
      <w:r w:rsidR="00D236F0" w:rsidRPr="00681AED">
        <w:rPr>
          <w:sz w:val="20"/>
          <w:szCs w:val="20"/>
        </w:rPr>
        <w:t>2025</w:t>
      </w:r>
    </w:p>
    <w:bookmarkStart w:id="0" w:name="_Toc203744892" w:displacedByCustomXml="next"/>
    <w:sdt>
      <w:sdtPr>
        <w:rPr>
          <w:rFonts w:ascii="Lato" w:eastAsiaTheme="minorHAnsi" w:hAnsi="Lato" w:cstheme="minorBidi"/>
          <w:sz w:val="24"/>
          <w:szCs w:val="24"/>
          <w:u w:val="single"/>
        </w:rPr>
        <w:id w:val="437254782"/>
        <w:docPartObj>
          <w:docPartGallery w:val="Table of Contents"/>
          <w:docPartUnique/>
        </w:docPartObj>
      </w:sdtPr>
      <w:sdtEndPr>
        <w:rPr>
          <w:b/>
          <w:bCs/>
          <w:noProof/>
          <w:u w:val="none"/>
        </w:rPr>
      </w:sdtEndPr>
      <w:sdtContent>
        <w:p w14:paraId="53F57670" w14:textId="3EC17C8C" w:rsidR="00467D7C" w:rsidRPr="00681AED" w:rsidRDefault="00467D7C" w:rsidP="00681AED">
          <w:pPr>
            <w:pStyle w:val="Heading1"/>
            <w:rPr>
              <w:u w:val="single"/>
            </w:rPr>
          </w:pPr>
          <w:r w:rsidRPr="00681AED">
            <w:rPr>
              <w:u w:val="single"/>
            </w:rPr>
            <w:t>Contents</w:t>
          </w:r>
          <w:bookmarkEnd w:id="0"/>
        </w:p>
        <w:p w14:paraId="59BB68F8" w14:textId="1771C9E0" w:rsidR="00654F19" w:rsidRDefault="00467D7C">
          <w:pPr>
            <w:pStyle w:val="TOC1"/>
            <w:rPr>
              <w:rFonts w:asciiTheme="minorHAnsi" w:eastAsiaTheme="minorEastAsia" w:hAnsiTheme="minorHAnsi"/>
              <w:sz w:val="24"/>
              <w:szCs w:val="24"/>
            </w:rPr>
          </w:pPr>
          <w:r>
            <w:fldChar w:fldCharType="begin"/>
          </w:r>
          <w:r>
            <w:instrText xml:space="preserve"> TOC \o "1-3" \h \z \u </w:instrText>
          </w:r>
          <w:r>
            <w:fldChar w:fldCharType="separate"/>
          </w:r>
          <w:hyperlink w:anchor="_Toc203744892" w:history="1">
            <w:r w:rsidR="00654F19" w:rsidRPr="006312B2">
              <w:rPr>
                <w:rStyle w:val="Hyperlink"/>
              </w:rPr>
              <w:t>Contents</w:t>
            </w:r>
            <w:r w:rsidR="00654F19">
              <w:rPr>
                <w:webHidden/>
              </w:rPr>
              <w:tab/>
            </w:r>
            <w:r w:rsidR="00654F19">
              <w:rPr>
                <w:webHidden/>
              </w:rPr>
              <w:fldChar w:fldCharType="begin"/>
            </w:r>
            <w:r w:rsidR="00654F19">
              <w:rPr>
                <w:webHidden/>
              </w:rPr>
              <w:instrText xml:space="preserve"> PAGEREF _Toc203744892 \h </w:instrText>
            </w:r>
            <w:r w:rsidR="00654F19">
              <w:rPr>
                <w:webHidden/>
              </w:rPr>
            </w:r>
            <w:r w:rsidR="00654F19">
              <w:rPr>
                <w:webHidden/>
              </w:rPr>
              <w:fldChar w:fldCharType="separate"/>
            </w:r>
            <w:r w:rsidR="00654F19">
              <w:rPr>
                <w:webHidden/>
              </w:rPr>
              <w:t>1</w:t>
            </w:r>
            <w:r w:rsidR="00654F19">
              <w:rPr>
                <w:webHidden/>
              </w:rPr>
              <w:fldChar w:fldCharType="end"/>
            </w:r>
          </w:hyperlink>
        </w:p>
        <w:p w14:paraId="05B6CF29" w14:textId="3A45DC91" w:rsidR="00654F19" w:rsidRDefault="00654F19">
          <w:pPr>
            <w:pStyle w:val="TOC1"/>
            <w:rPr>
              <w:rFonts w:asciiTheme="minorHAnsi" w:eastAsiaTheme="minorEastAsia" w:hAnsiTheme="minorHAnsi"/>
              <w:sz w:val="24"/>
              <w:szCs w:val="24"/>
            </w:rPr>
          </w:pPr>
          <w:hyperlink w:anchor="_Toc203744893" w:history="1">
            <w:r w:rsidRPr="006312B2">
              <w:rPr>
                <w:rStyle w:val="Hyperlink"/>
              </w:rPr>
              <w:t>General Requirements</w:t>
            </w:r>
            <w:r>
              <w:rPr>
                <w:webHidden/>
              </w:rPr>
              <w:tab/>
            </w:r>
            <w:r>
              <w:rPr>
                <w:webHidden/>
              </w:rPr>
              <w:fldChar w:fldCharType="begin"/>
            </w:r>
            <w:r>
              <w:rPr>
                <w:webHidden/>
              </w:rPr>
              <w:instrText xml:space="preserve"> PAGEREF _Toc203744893 \h </w:instrText>
            </w:r>
            <w:r>
              <w:rPr>
                <w:webHidden/>
              </w:rPr>
            </w:r>
            <w:r>
              <w:rPr>
                <w:webHidden/>
              </w:rPr>
              <w:fldChar w:fldCharType="separate"/>
            </w:r>
            <w:r>
              <w:rPr>
                <w:webHidden/>
              </w:rPr>
              <w:t>3</w:t>
            </w:r>
            <w:r>
              <w:rPr>
                <w:webHidden/>
              </w:rPr>
              <w:fldChar w:fldCharType="end"/>
            </w:r>
          </w:hyperlink>
        </w:p>
        <w:p w14:paraId="5135FBEF" w14:textId="0E89D52D" w:rsidR="00654F19" w:rsidRPr="00654F19" w:rsidRDefault="00654F19">
          <w:pPr>
            <w:pStyle w:val="TOC2"/>
            <w:rPr>
              <w:rFonts w:asciiTheme="minorHAnsi" w:eastAsiaTheme="minorEastAsia" w:hAnsiTheme="minorHAnsi"/>
              <w:color w:val="008381"/>
            </w:rPr>
          </w:pPr>
          <w:hyperlink w:anchor="_Toc203744894" w:history="1">
            <w:r w:rsidRPr="00654F19">
              <w:rPr>
                <w:rStyle w:val="Hyperlink"/>
                <w:color w:val="008381"/>
              </w:rPr>
              <w:t>Four Percent Fixed Rate</w:t>
            </w:r>
            <w:r w:rsidRPr="00654F19">
              <w:rPr>
                <w:webHidden/>
                <w:color w:val="008381"/>
              </w:rPr>
              <w:tab/>
            </w:r>
            <w:r w:rsidRPr="00654F19">
              <w:rPr>
                <w:webHidden/>
                <w:color w:val="008381"/>
              </w:rPr>
              <w:fldChar w:fldCharType="begin"/>
            </w:r>
            <w:r w:rsidRPr="00654F19">
              <w:rPr>
                <w:webHidden/>
                <w:color w:val="008381"/>
              </w:rPr>
              <w:instrText xml:space="preserve"> PAGEREF _Toc203744894 \h </w:instrText>
            </w:r>
            <w:r w:rsidRPr="00654F19">
              <w:rPr>
                <w:webHidden/>
                <w:color w:val="008381"/>
              </w:rPr>
            </w:r>
            <w:r w:rsidRPr="00654F19">
              <w:rPr>
                <w:webHidden/>
                <w:color w:val="008381"/>
              </w:rPr>
              <w:fldChar w:fldCharType="separate"/>
            </w:r>
            <w:r w:rsidRPr="00654F19">
              <w:rPr>
                <w:webHidden/>
                <w:color w:val="008381"/>
              </w:rPr>
              <w:t>3</w:t>
            </w:r>
            <w:r w:rsidRPr="00654F19">
              <w:rPr>
                <w:webHidden/>
                <w:color w:val="008381"/>
              </w:rPr>
              <w:fldChar w:fldCharType="end"/>
            </w:r>
          </w:hyperlink>
        </w:p>
        <w:p w14:paraId="1F0EE7D4" w14:textId="6ABB22FD" w:rsidR="00654F19" w:rsidRPr="00654F19" w:rsidRDefault="00654F19">
          <w:pPr>
            <w:pStyle w:val="TOC2"/>
            <w:rPr>
              <w:rFonts w:asciiTheme="minorHAnsi" w:eastAsiaTheme="minorEastAsia" w:hAnsiTheme="minorHAnsi"/>
              <w:color w:val="008381"/>
            </w:rPr>
          </w:pPr>
          <w:hyperlink w:anchor="_Toc203744895" w:history="1">
            <w:r w:rsidRPr="00654F19">
              <w:rPr>
                <w:rStyle w:val="Hyperlink"/>
                <w:color w:val="008381"/>
              </w:rPr>
              <w:t>Private Activity Bonds</w:t>
            </w:r>
            <w:r w:rsidRPr="00654F19">
              <w:rPr>
                <w:webHidden/>
                <w:color w:val="008381"/>
              </w:rPr>
              <w:tab/>
            </w:r>
            <w:r w:rsidRPr="00654F19">
              <w:rPr>
                <w:webHidden/>
                <w:color w:val="008381"/>
              </w:rPr>
              <w:fldChar w:fldCharType="begin"/>
            </w:r>
            <w:r w:rsidRPr="00654F19">
              <w:rPr>
                <w:webHidden/>
                <w:color w:val="008381"/>
              </w:rPr>
              <w:instrText xml:space="preserve"> PAGEREF _Toc203744895 \h </w:instrText>
            </w:r>
            <w:r w:rsidRPr="00654F19">
              <w:rPr>
                <w:webHidden/>
                <w:color w:val="008381"/>
              </w:rPr>
            </w:r>
            <w:r w:rsidRPr="00654F19">
              <w:rPr>
                <w:webHidden/>
                <w:color w:val="008381"/>
              </w:rPr>
              <w:fldChar w:fldCharType="separate"/>
            </w:r>
            <w:r w:rsidRPr="00654F19">
              <w:rPr>
                <w:webHidden/>
                <w:color w:val="008381"/>
              </w:rPr>
              <w:t>3</w:t>
            </w:r>
            <w:r w:rsidRPr="00654F19">
              <w:rPr>
                <w:webHidden/>
                <w:color w:val="008381"/>
              </w:rPr>
              <w:fldChar w:fldCharType="end"/>
            </w:r>
          </w:hyperlink>
        </w:p>
        <w:p w14:paraId="19E067FD" w14:textId="59A53422" w:rsidR="00654F19" w:rsidRPr="00654F19" w:rsidRDefault="00654F19">
          <w:pPr>
            <w:pStyle w:val="TOC2"/>
            <w:rPr>
              <w:rFonts w:asciiTheme="minorHAnsi" w:eastAsiaTheme="minorEastAsia" w:hAnsiTheme="minorHAnsi"/>
              <w:color w:val="008381"/>
            </w:rPr>
          </w:pPr>
          <w:hyperlink w:anchor="_Toc203744896" w:history="1">
            <w:r w:rsidRPr="00654F19">
              <w:rPr>
                <w:rStyle w:val="Hyperlink"/>
                <w:color w:val="008381"/>
              </w:rPr>
              <w:t>Combining 9% Awards with 4% Acquisition Credits</w:t>
            </w:r>
            <w:r w:rsidRPr="00654F19">
              <w:rPr>
                <w:webHidden/>
                <w:color w:val="008381"/>
              </w:rPr>
              <w:tab/>
            </w:r>
            <w:r w:rsidRPr="00654F19">
              <w:rPr>
                <w:webHidden/>
                <w:color w:val="008381"/>
              </w:rPr>
              <w:fldChar w:fldCharType="begin"/>
            </w:r>
            <w:r w:rsidRPr="00654F19">
              <w:rPr>
                <w:webHidden/>
                <w:color w:val="008381"/>
              </w:rPr>
              <w:instrText xml:space="preserve"> PAGEREF _Toc203744896 \h </w:instrText>
            </w:r>
            <w:r w:rsidRPr="00654F19">
              <w:rPr>
                <w:webHidden/>
                <w:color w:val="008381"/>
              </w:rPr>
            </w:r>
            <w:r w:rsidRPr="00654F19">
              <w:rPr>
                <w:webHidden/>
                <w:color w:val="008381"/>
              </w:rPr>
              <w:fldChar w:fldCharType="separate"/>
            </w:r>
            <w:r w:rsidRPr="00654F19">
              <w:rPr>
                <w:webHidden/>
                <w:color w:val="008381"/>
              </w:rPr>
              <w:t>4</w:t>
            </w:r>
            <w:r w:rsidRPr="00654F19">
              <w:rPr>
                <w:webHidden/>
                <w:color w:val="008381"/>
              </w:rPr>
              <w:fldChar w:fldCharType="end"/>
            </w:r>
          </w:hyperlink>
        </w:p>
        <w:p w14:paraId="510222AF" w14:textId="451F939D" w:rsidR="00654F19" w:rsidRPr="00654F19" w:rsidRDefault="00654F19">
          <w:pPr>
            <w:pStyle w:val="TOC2"/>
            <w:rPr>
              <w:rFonts w:asciiTheme="minorHAnsi" w:eastAsiaTheme="minorEastAsia" w:hAnsiTheme="minorHAnsi"/>
              <w:color w:val="008381"/>
            </w:rPr>
          </w:pPr>
          <w:hyperlink w:anchor="_Toc203744897" w:history="1">
            <w:r w:rsidRPr="00654F19">
              <w:rPr>
                <w:rStyle w:val="Hyperlink"/>
                <w:color w:val="008381"/>
              </w:rPr>
              <w:t>Application and Processing</w:t>
            </w:r>
            <w:r w:rsidRPr="00654F19">
              <w:rPr>
                <w:webHidden/>
                <w:color w:val="008381"/>
              </w:rPr>
              <w:tab/>
            </w:r>
            <w:r w:rsidRPr="00654F19">
              <w:rPr>
                <w:webHidden/>
                <w:color w:val="008381"/>
              </w:rPr>
              <w:fldChar w:fldCharType="begin"/>
            </w:r>
            <w:r w:rsidRPr="00654F19">
              <w:rPr>
                <w:webHidden/>
                <w:color w:val="008381"/>
              </w:rPr>
              <w:instrText xml:space="preserve"> PAGEREF _Toc203744897 \h </w:instrText>
            </w:r>
            <w:r w:rsidRPr="00654F19">
              <w:rPr>
                <w:webHidden/>
                <w:color w:val="008381"/>
              </w:rPr>
            </w:r>
            <w:r w:rsidRPr="00654F19">
              <w:rPr>
                <w:webHidden/>
                <w:color w:val="008381"/>
              </w:rPr>
              <w:fldChar w:fldCharType="separate"/>
            </w:r>
            <w:r w:rsidRPr="00654F19">
              <w:rPr>
                <w:webHidden/>
                <w:color w:val="008381"/>
              </w:rPr>
              <w:t>4</w:t>
            </w:r>
            <w:r w:rsidRPr="00654F19">
              <w:rPr>
                <w:webHidden/>
                <w:color w:val="008381"/>
              </w:rPr>
              <w:fldChar w:fldCharType="end"/>
            </w:r>
          </w:hyperlink>
        </w:p>
        <w:p w14:paraId="59F9823E" w14:textId="1F7553DE" w:rsidR="00654F19" w:rsidRPr="00654F19" w:rsidRDefault="00654F19">
          <w:pPr>
            <w:pStyle w:val="TOC2"/>
            <w:rPr>
              <w:rFonts w:asciiTheme="minorHAnsi" w:eastAsiaTheme="minorEastAsia" w:hAnsiTheme="minorHAnsi"/>
              <w:color w:val="008381"/>
            </w:rPr>
          </w:pPr>
          <w:hyperlink w:anchor="_Toc203744898" w:history="1">
            <w:r w:rsidRPr="00654F19">
              <w:rPr>
                <w:rStyle w:val="Hyperlink"/>
                <w:color w:val="008381"/>
              </w:rPr>
              <w:t>Tax Credit Review</w:t>
            </w:r>
            <w:r w:rsidRPr="00654F19">
              <w:rPr>
                <w:webHidden/>
                <w:color w:val="008381"/>
              </w:rPr>
              <w:tab/>
            </w:r>
            <w:r w:rsidRPr="00654F19">
              <w:rPr>
                <w:webHidden/>
                <w:color w:val="008381"/>
              </w:rPr>
              <w:fldChar w:fldCharType="begin"/>
            </w:r>
            <w:r w:rsidRPr="00654F19">
              <w:rPr>
                <w:webHidden/>
                <w:color w:val="008381"/>
              </w:rPr>
              <w:instrText xml:space="preserve"> PAGEREF _Toc203744898 \h </w:instrText>
            </w:r>
            <w:r w:rsidRPr="00654F19">
              <w:rPr>
                <w:webHidden/>
                <w:color w:val="008381"/>
              </w:rPr>
            </w:r>
            <w:r w:rsidRPr="00654F19">
              <w:rPr>
                <w:webHidden/>
                <w:color w:val="008381"/>
              </w:rPr>
              <w:fldChar w:fldCharType="separate"/>
            </w:r>
            <w:r w:rsidRPr="00654F19">
              <w:rPr>
                <w:webHidden/>
                <w:color w:val="008381"/>
              </w:rPr>
              <w:t>6</w:t>
            </w:r>
            <w:r w:rsidRPr="00654F19">
              <w:rPr>
                <w:webHidden/>
                <w:color w:val="008381"/>
              </w:rPr>
              <w:fldChar w:fldCharType="end"/>
            </w:r>
          </w:hyperlink>
        </w:p>
        <w:p w14:paraId="5406693A" w14:textId="10B409DB" w:rsidR="00654F19" w:rsidRPr="00654F19" w:rsidRDefault="00654F19">
          <w:pPr>
            <w:pStyle w:val="TOC2"/>
            <w:rPr>
              <w:rFonts w:asciiTheme="minorHAnsi" w:eastAsiaTheme="minorEastAsia" w:hAnsiTheme="minorHAnsi"/>
              <w:color w:val="008381"/>
            </w:rPr>
          </w:pPr>
          <w:hyperlink w:anchor="_Toc203744899" w:history="1">
            <w:r w:rsidRPr="00654F19">
              <w:rPr>
                <w:rStyle w:val="Hyperlink"/>
                <w:color w:val="008381"/>
              </w:rPr>
              <w:t>Loan Rates and Terms</w:t>
            </w:r>
            <w:r w:rsidRPr="00654F19">
              <w:rPr>
                <w:webHidden/>
                <w:color w:val="008381"/>
              </w:rPr>
              <w:tab/>
            </w:r>
            <w:r w:rsidRPr="00654F19">
              <w:rPr>
                <w:webHidden/>
                <w:color w:val="008381"/>
              </w:rPr>
              <w:fldChar w:fldCharType="begin"/>
            </w:r>
            <w:r w:rsidRPr="00654F19">
              <w:rPr>
                <w:webHidden/>
                <w:color w:val="008381"/>
              </w:rPr>
              <w:instrText xml:space="preserve"> PAGEREF _Toc203744899 \h </w:instrText>
            </w:r>
            <w:r w:rsidRPr="00654F19">
              <w:rPr>
                <w:webHidden/>
                <w:color w:val="008381"/>
              </w:rPr>
            </w:r>
            <w:r w:rsidRPr="00654F19">
              <w:rPr>
                <w:webHidden/>
                <w:color w:val="008381"/>
              </w:rPr>
              <w:fldChar w:fldCharType="separate"/>
            </w:r>
            <w:r w:rsidRPr="00654F19">
              <w:rPr>
                <w:webHidden/>
                <w:color w:val="008381"/>
              </w:rPr>
              <w:t>6</w:t>
            </w:r>
            <w:r w:rsidRPr="00654F19">
              <w:rPr>
                <w:webHidden/>
                <w:color w:val="008381"/>
              </w:rPr>
              <w:fldChar w:fldCharType="end"/>
            </w:r>
          </w:hyperlink>
        </w:p>
        <w:p w14:paraId="14FFB4B5" w14:textId="79FC9C75" w:rsidR="00654F19" w:rsidRPr="00654F19" w:rsidRDefault="00654F19">
          <w:pPr>
            <w:pStyle w:val="TOC2"/>
            <w:rPr>
              <w:rFonts w:asciiTheme="minorHAnsi" w:eastAsiaTheme="minorEastAsia" w:hAnsiTheme="minorHAnsi"/>
              <w:color w:val="008381"/>
            </w:rPr>
          </w:pPr>
          <w:hyperlink w:anchor="_Toc203744900" w:history="1">
            <w:r w:rsidRPr="00654F19">
              <w:rPr>
                <w:rStyle w:val="Hyperlink"/>
                <w:color w:val="008381"/>
              </w:rPr>
              <w:t>Bond Rating Requirements</w:t>
            </w:r>
            <w:r w:rsidRPr="00654F19">
              <w:rPr>
                <w:webHidden/>
                <w:color w:val="008381"/>
              </w:rPr>
              <w:tab/>
            </w:r>
            <w:r w:rsidRPr="00654F19">
              <w:rPr>
                <w:webHidden/>
                <w:color w:val="008381"/>
              </w:rPr>
              <w:fldChar w:fldCharType="begin"/>
            </w:r>
            <w:r w:rsidRPr="00654F19">
              <w:rPr>
                <w:webHidden/>
                <w:color w:val="008381"/>
              </w:rPr>
              <w:instrText xml:space="preserve"> PAGEREF _Toc203744900 \h </w:instrText>
            </w:r>
            <w:r w:rsidRPr="00654F19">
              <w:rPr>
                <w:webHidden/>
                <w:color w:val="008381"/>
              </w:rPr>
            </w:r>
            <w:r w:rsidRPr="00654F19">
              <w:rPr>
                <w:webHidden/>
                <w:color w:val="008381"/>
              </w:rPr>
              <w:fldChar w:fldCharType="separate"/>
            </w:r>
            <w:r w:rsidRPr="00654F19">
              <w:rPr>
                <w:webHidden/>
                <w:color w:val="008381"/>
              </w:rPr>
              <w:t>6</w:t>
            </w:r>
            <w:r w:rsidRPr="00654F19">
              <w:rPr>
                <w:webHidden/>
                <w:color w:val="008381"/>
              </w:rPr>
              <w:fldChar w:fldCharType="end"/>
            </w:r>
          </w:hyperlink>
        </w:p>
        <w:p w14:paraId="30C4470A" w14:textId="273F9D85" w:rsidR="00654F19" w:rsidRPr="00654F19" w:rsidRDefault="00654F19">
          <w:pPr>
            <w:pStyle w:val="TOC2"/>
            <w:rPr>
              <w:rFonts w:asciiTheme="minorHAnsi" w:eastAsiaTheme="minorEastAsia" w:hAnsiTheme="minorHAnsi"/>
              <w:color w:val="008381"/>
            </w:rPr>
          </w:pPr>
          <w:hyperlink w:anchor="_Toc203744901" w:history="1">
            <w:r w:rsidRPr="00654F19">
              <w:rPr>
                <w:rStyle w:val="Hyperlink"/>
                <w:color w:val="008381"/>
              </w:rPr>
              <w:t>Credit Enhancement Requirements</w:t>
            </w:r>
            <w:r w:rsidRPr="00654F19">
              <w:rPr>
                <w:webHidden/>
                <w:color w:val="008381"/>
              </w:rPr>
              <w:tab/>
            </w:r>
            <w:r w:rsidRPr="00654F19">
              <w:rPr>
                <w:webHidden/>
                <w:color w:val="008381"/>
              </w:rPr>
              <w:fldChar w:fldCharType="begin"/>
            </w:r>
            <w:r w:rsidRPr="00654F19">
              <w:rPr>
                <w:webHidden/>
                <w:color w:val="008381"/>
              </w:rPr>
              <w:instrText xml:space="preserve"> PAGEREF _Toc203744901 \h </w:instrText>
            </w:r>
            <w:r w:rsidRPr="00654F19">
              <w:rPr>
                <w:webHidden/>
                <w:color w:val="008381"/>
              </w:rPr>
            </w:r>
            <w:r w:rsidRPr="00654F19">
              <w:rPr>
                <w:webHidden/>
                <w:color w:val="008381"/>
              </w:rPr>
              <w:fldChar w:fldCharType="separate"/>
            </w:r>
            <w:r w:rsidRPr="00654F19">
              <w:rPr>
                <w:webHidden/>
                <w:color w:val="008381"/>
              </w:rPr>
              <w:t>6</w:t>
            </w:r>
            <w:r w:rsidRPr="00654F19">
              <w:rPr>
                <w:webHidden/>
                <w:color w:val="008381"/>
              </w:rPr>
              <w:fldChar w:fldCharType="end"/>
            </w:r>
          </w:hyperlink>
        </w:p>
        <w:p w14:paraId="74E628D1" w14:textId="3D8F8853" w:rsidR="00654F19" w:rsidRPr="00654F19" w:rsidRDefault="00654F19">
          <w:pPr>
            <w:pStyle w:val="TOC2"/>
            <w:rPr>
              <w:rFonts w:asciiTheme="minorHAnsi" w:eastAsiaTheme="minorEastAsia" w:hAnsiTheme="minorHAnsi"/>
              <w:color w:val="008381"/>
            </w:rPr>
          </w:pPr>
          <w:hyperlink w:anchor="_Toc203744902" w:history="1">
            <w:r w:rsidRPr="00654F19">
              <w:rPr>
                <w:rStyle w:val="Hyperlink"/>
                <w:color w:val="008381"/>
              </w:rPr>
              <w:t>Financing Team</w:t>
            </w:r>
            <w:r w:rsidRPr="00654F19">
              <w:rPr>
                <w:webHidden/>
                <w:color w:val="008381"/>
              </w:rPr>
              <w:tab/>
            </w:r>
            <w:r w:rsidRPr="00654F19">
              <w:rPr>
                <w:webHidden/>
                <w:color w:val="008381"/>
              </w:rPr>
              <w:fldChar w:fldCharType="begin"/>
            </w:r>
            <w:r w:rsidRPr="00654F19">
              <w:rPr>
                <w:webHidden/>
                <w:color w:val="008381"/>
              </w:rPr>
              <w:instrText xml:space="preserve"> PAGEREF _Toc203744902 \h </w:instrText>
            </w:r>
            <w:r w:rsidRPr="00654F19">
              <w:rPr>
                <w:webHidden/>
                <w:color w:val="008381"/>
              </w:rPr>
            </w:r>
            <w:r w:rsidRPr="00654F19">
              <w:rPr>
                <w:webHidden/>
                <w:color w:val="008381"/>
              </w:rPr>
              <w:fldChar w:fldCharType="separate"/>
            </w:r>
            <w:r w:rsidRPr="00654F19">
              <w:rPr>
                <w:webHidden/>
                <w:color w:val="008381"/>
              </w:rPr>
              <w:t>7</w:t>
            </w:r>
            <w:r w:rsidRPr="00654F19">
              <w:rPr>
                <w:webHidden/>
                <w:color w:val="008381"/>
              </w:rPr>
              <w:fldChar w:fldCharType="end"/>
            </w:r>
          </w:hyperlink>
        </w:p>
        <w:p w14:paraId="3CB8C021" w14:textId="7A9F9FF1" w:rsidR="00654F19" w:rsidRPr="00654F19" w:rsidRDefault="00654F19">
          <w:pPr>
            <w:pStyle w:val="TOC2"/>
            <w:rPr>
              <w:rFonts w:asciiTheme="minorHAnsi" w:eastAsiaTheme="minorEastAsia" w:hAnsiTheme="minorHAnsi"/>
              <w:color w:val="008381"/>
            </w:rPr>
          </w:pPr>
          <w:hyperlink w:anchor="_Toc203744903" w:history="1">
            <w:r w:rsidRPr="00654F19">
              <w:rPr>
                <w:rStyle w:val="Hyperlink"/>
                <w:color w:val="008381"/>
              </w:rPr>
              <w:t>Use Restrictions (Federal Set-Aside Requirements)</w:t>
            </w:r>
            <w:r w:rsidRPr="00654F19">
              <w:rPr>
                <w:webHidden/>
                <w:color w:val="008381"/>
              </w:rPr>
              <w:tab/>
            </w:r>
            <w:r w:rsidRPr="00654F19">
              <w:rPr>
                <w:webHidden/>
                <w:color w:val="008381"/>
              </w:rPr>
              <w:fldChar w:fldCharType="begin"/>
            </w:r>
            <w:r w:rsidRPr="00654F19">
              <w:rPr>
                <w:webHidden/>
                <w:color w:val="008381"/>
              </w:rPr>
              <w:instrText xml:space="preserve"> PAGEREF _Toc203744903 \h </w:instrText>
            </w:r>
            <w:r w:rsidRPr="00654F19">
              <w:rPr>
                <w:webHidden/>
                <w:color w:val="008381"/>
              </w:rPr>
            </w:r>
            <w:r w:rsidRPr="00654F19">
              <w:rPr>
                <w:webHidden/>
                <w:color w:val="008381"/>
              </w:rPr>
              <w:fldChar w:fldCharType="separate"/>
            </w:r>
            <w:r w:rsidRPr="00654F19">
              <w:rPr>
                <w:webHidden/>
                <w:color w:val="008381"/>
              </w:rPr>
              <w:t>7</w:t>
            </w:r>
            <w:r w:rsidRPr="00654F19">
              <w:rPr>
                <w:webHidden/>
                <w:color w:val="008381"/>
              </w:rPr>
              <w:fldChar w:fldCharType="end"/>
            </w:r>
          </w:hyperlink>
        </w:p>
        <w:p w14:paraId="16AF828A" w14:textId="044E7D29" w:rsidR="00654F19" w:rsidRPr="00654F19" w:rsidRDefault="00654F19">
          <w:pPr>
            <w:pStyle w:val="TOC2"/>
            <w:rPr>
              <w:rFonts w:asciiTheme="minorHAnsi" w:eastAsiaTheme="minorEastAsia" w:hAnsiTheme="minorHAnsi"/>
              <w:color w:val="008381"/>
            </w:rPr>
          </w:pPr>
          <w:hyperlink w:anchor="_Toc203744904" w:history="1">
            <w:r w:rsidRPr="00654F19">
              <w:rPr>
                <w:rStyle w:val="Hyperlink"/>
                <w:color w:val="008381"/>
              </w:rPr>
              <w:t>Regulatory Agreements</w:t>
            </w:r>
            <w:r w:rsidRPr="00654F19">
              <w:rPr>
                <w:webHidden/>
                <w:color w:val="008381"/>
              </w:rPr>
              <w:tab/>
            </w:r>
            <w:r w:rsidRPr="00654F19">
              <w:rPr>
                <w:webHidden/>
                <w:color w:val="008381"/>
              </w:rPr>
              <w:fldChar w:fldCharType="begin"/>
            </w:r>
            <w:r w:rsidRPr="00654F19">
              <w:rPr>
                <w:webHidden/>
                <w:color w:val="008381"/>
              </w:rPr>
              <w:instrText xml:space="preserve"> PAGEREF _Toc203744904 \h </w:instrText>
            </w:r>
            <w:r w:rsidRPr="00654F19">
              <w:rPr>
                <w:webHidden/>
                <w:color w:val="008381"/>
              </w:rPr>
            </w:r>
            <w:r w:rsidRPr="00654F19">
              <w:rPr>
                <w:webHidden/>
                <w:color w:val="008381"/>
              </w:rPr>
              <w:fldChar w:fldCharType="separate"/>
            </w:r>
            <w:r w:rsidRPr="00654F19">
              <w:rPr>
                <w:webHidden/>
                <w:color w:val="008381"/>
              </w:rPr>
              <w:t>7</w:t>
            </w:r>
            <w:r w:rsidRPr="00654F19">
              <w:rPr>
                <w:webHidden/>
                <w:color w:val="008381"/>
              </w:rPr>
              <w:fldChar w:fldCharType="end"/>
            </w:r>
          </w:hyperlink>
        </w:p>
        <w:p w14:paraId="662FA5B9" w14:textId="54E10031" w:rsidR="00654F19" w:rsidRPr="00654F19" w:rsidRDefault="00654F19">
          <w:pPr>
            <w:pStyle w:val="TOC2"/>
            <w:rPr>
              <w:rFonts w:asciiTheme="minorHAnsi" w:eastAsiaTheme="minorEastAsia" w:hAnsiTheme="minorHAnsi"/>
              <w:color w:val="008381"/>
            </w:rPr>
          </w:pPr>
          <w:hyperlink w:anchor="_Toc203744905" w:history="1">
            <w:r w:rsidRPr="00654F19">
              <w:rPr>
                <w:rStyle w:val="Hyperlink"/>
                <w:color w:val="008381"/>
              </w:rPr>
              <w:t>Additional Financing and Subsidies</w:t>
            </w:r>
            <w:r w:rsidRPr="00654F19">
              <w:rPr>
                <w:webHidden/>
                <w:color w:val="008381"/>
              </w:rPr>
              <w:tab/>
            </w:r>
            <w:r w:rsidRPr="00654F19">
              <w:rPr>
                <w:webHidden/>
                <w:color w:val="008381"/>
              </w:rPr>
              <w:fldChar w:fldCharType="begin"/>
            </w:r>
            <w:r w:rsidRPr="00654F19">
              <w:rPr>
                <w:webHidden/>
                <w:color w:val="008381"/>
              </w:rPr>
              <w:instrText xml:space="preserve"> PAGEREF _Toc203744905 \h </w:instrText>
            </w:r>
            <w:r w:rsidRPr="00654F19">
              <w:rPr>
                <w:webHidden/>
                <w:color w:val="008381"/>
              </w:rPr>
            </w:r>
            <w:r w:rsidRPr="00654F19">
              <w:rPr>
                <w:webHidden/>
                <w:color w:val="008381"/>
              </w:rPr>
              <w:fldChar w:fldCharType="separate"/>
            </w:r>
            <w:r w:rsidRPr="00654F19">
              <w:rPr>
                <w:webHidden/>
                <w:color w:val="008381"/>
              </w:rPr>
              <w:t>8</w:t>
            </w:r>
            <w:r w:rsidRPr="00654F19">
              <w:rPr>
                <w:webHidden/>
                <w:color w:val="008381"/>
              </w:rPr>
              <w:fldChar w:fldCharType="end"/>
            </w:r>
          </w:hyperlink>
        </w:p>
        <w:p w14:paraId="4CF58FE2" w14:textId="31985BB1" w:rsidR="00654F19" w:rsidRDefault="00654F19">
          <w:pPr>
            <w:pStyle w:val="TOC1"/>
            <w:rPr>
              <w:rFonts w:asciiTheme="minorHAnsi" w:eastAsiaTheme="minorEastAsia" w:hAnsiTheme="minorHAnsi"/>
              <w:sz w:val="24"/>
              <w:szCs w:val="24"/>
            </w:rPr>
          </w:pPr>
          <w:hyperlink w:anchor="_Toc203744906" w:history="1">
            <w:r w:rsidRPr="006312B2">
              <w:rPr>
                <w:rStyle w:val="Hyperlink"/>
              </w:rPr>
              <w:t>Fees and Expenses</w:t>
            </w:r>
            <w:r>
              <w:rPr>
                <w:webHidden/>
              </w:rPr>
              <w:tab/>
            </w:r>
            <w:r>
              <w:rPr>
                <w:webHidden/>
              </w:rPr>
              <w:fldChar w:fldCharType="begin"/>
            </w:r>
            <w:r>
              <w:rPr>
                <w:webHidden/>
              </w:rPr>
              <w:instrText xml:space="preserve"> PAGEREF _Toc203744906 \h </w:instrText>
            </w:r>
            <w:r>
              <w:rPr>
                <w:webHidden/>
              </w:rPr>
            </w:r>
            <w:r>
              <w:rPr>
                <w:webHidden/>
              </w:rPr>
              <w:fldChar w:fldCharType="separate"/>
            </w:r>
            <w:r>
              <w:rPr>
                <w:webHidden/>
              </w:rPr>
              <w:t>9</w:t>
            </w:r>
            <w:r>
              <w:rPr>
                <w:webHidden/>
              </w:rPr>
              <w:fldChar w:fldCharType="end"/>
            </w:r>
          </w:hyperlink>
        </w:p>
        <w:p w14:paraId="039DBD9A" w14:textId="20747501" w:rsidR="00654F19" w:rsidRDefault="00654F19">
          <w:pPr>
            <w:pStyle w:val="TOC1"/>
            <w:rPr>
              <w:rFonts w:asciiTheme="minorHAnsi" w:eastAsiaTheme="minorEastAsia" w:hAnsiTheme="minorHAnsi"/>
              <w:sz w:val="24"/>
              <w:szCs w:val="24"/>
            </w:rPr>
          </w:pPr>
          <w:hyperlink w:anchor="_Toc203744907" w:history="1">
            <w:r w:rsidRPr="006312B2">
              <w:rPr>
                <w:rStyle w:val="Hyperlink"/>
              </w:rPr>
              <w:t>Bond Checklist</w:t>
            </w:r>
            <w:r>
              <w:rPr>
                <w:webHidden/>
              </w:rPr>
              <w:tab/>
            </w:r>
            <w:r>
              <w:rPr>
                <w:webHidden/>
              </w:rPr>
              <w:fldChar w:fldCharType="begin"/>
            </w:r>
            <w:r>
              <w:rPr>
                <w:webHidden/>
              </w:rPr>
              <w:instrText xml:space="preserve"> PAGEREF _Toc203744907 \h </w:instrText>
            </w:r>
            <w:r>
              <w:rPr>
                <w:webHidden/>
              </w:rPr>
            </w:r>
            <w:r>
              <w:rPr>
                <w:webHidden/>
              </w:rPr>
              <w:fldChar w:fldCharType="separate"/>
            </w:r>
            <w:r>
              <w:rPr>
                <w:webHidden/>
              </w:rPr>
              <w:t>11</w:t>
            </w:r>
            <w:r>
              <w:rPr>
                <w:webHidden/>
              </w:rPr>
              <w:fldChar w:fldCharType="end"/>
            </w:r>
          </w:hyperlink>
        </w:p>
        <w:p w14:paraId="557F7105" w14:textId="19CA45AA" w:rsidR="00654F19" w:rsidRDefault="00654F19">
          <w:pPr>
            <w:pStyle w:val="TOC2"/>
            <w:rPr>
              <w:rFonts w:asciiTheme="minorHAnsi" w:eastAsiaTheme="minorEastAsia" w:hAnsiTheme="minorHAnsi"/>
              <w:color w:val="auto"/>
            </w:rPr>
          </w:pPr>
          <w:hyperlink w:anchor="_Toc203744908" w:history="1">
            <w:r w:rsidRPr="006312B2">
              <w:rPr>
                <w:rStyle w:val="Hyperlink"/>
              </w:rPr>
              <w:t>General Process</w:t>
            </w:r>
            <w:r>
              <w:rPr>
                <w:webHidden/>
              </w:rPr>
              <w:tab/>
            </w:r>
            <w:r>
              <w:rPr>
                <w:webHidden/>
              </w:rPr>
              <w:fldChar w:fldCharType="begin"/>
            </w:r>
            <w:r>
              <w:rPr>
                <w:webHidden/>
              </w:rPr>
              <w:instrText xml:space="preserve"> PAGEREF _Toc203744908 \h </w:instrText>
            </w:r>
            <w:r>
              <w:rPr>
                <w:webHidden/>
              </w:rPr>
            </w:r>
            <w:r>
              <w:rPr>
                <w:webHidden/>
              </w:rPr>
              <w:fldChar w:fldCharType="separate"/>
            </w:r>
            <w:r>
              <w:rPr>
                <w:webHidden/>
              </w:rPr>
              <w:t>11</w:t>
            </w:r>
            <w:r>
              <w:rPr>
                <w:webHidden/>
              </w:rPr>
              <w:fldChar w:fldCharType="end"/>
            </w:r>
          </w:hyperlink>
        </w:p>
        <w:p w14:paraId="151FAFE0" w14:textId="35F28C79" w:rsidR="00654F19" w:rsidRDefault="00654F19">
          <w:pPr>
            <w:pStyle w:val="TOC2"/>
            <w:rPr>
              <w:rFonts w:asciiTheme="minorHAnsi" w:eastAsiaTheme="minorEastAsia" w:hAnsiTheme="minorHAnsi"/>
              <w:color w:val="auto"/>
            </w:rPr>
          </w:pPr>
          <w:hyperlink w:anchor="_Toc203744909" w:history="1">
            <w:r w:rsidRPr="006312B2">
              <w:rPr>
                <w:rStyle w:val="Hyperlink"/>
              </w:rPr>
              <w:t>Application</w:t>
            </w:r>
            <w:r>
              <w:rPr>
                <w:webHidden/>
              </w:rPr>
              <w:tab/>
            </w:r>
            <w:r>
              <w:rPr>
                <w:webHidden/>
              </w:rPr>
              <w:fldChar w:fldCharType="begin"/>
            </w:r>
            <w:r>
              <w:rPr>
                <w:webHidden/>
              </w:rPr>
              <w:instrText xml:space="preserve"> PAGEREF _Toc203744909 \h </w:instrText>
            </w:r>
            <w:r>
              <w:rPr>
                <w:webHidden/>
              </w:rPr>
            </w:r>
            <w:r>
              <w:rPr>
                <w:webHidden/>
              </w:rPr>
              <w:fldChar w:fldCharType="separate"/>
            </w:r>
            <w:r>
              <w:rPr>
                <w:webHidden/>
              </w:rPr>
              <w:t>11</w:t>
            </w:r>
            <w:r>
              <w:rPr>
                <w:webHidden/>
              </w:rPr>
              <w:fldChar w:fldCharType="end"/>
            </w:r>
          </w:hyperlink>
        </w:p>
        <w:p w14:paraId="7BAADCCB" w14:textId="6F1E82EB" w:rsidR="00654F19" w:rsidRDefault="00654F19">
          <w:pPr>
            <w:pStyle w:val="TOC2"/>
            <w:rPr>
              <w:rFonts w:asciiTheme="minorHAnsi" w:eastAsiaTheme="minorEastAsia" w:hAnsiTheme="minorHAnsi"/>
              <w:color w:val="auto"/>
            </w:rPr>
          </w:pPr>
          <w:hyperlink w:anchor="_Toc203744910" w:history="1">
            <w:r w:rsidRPr="006312B2">
              <w:rPr>
                <w:rStyle w:val="Hyperlink"/>
              </w:rPr>
              <w:t>Underwriting</w:t>
            </w:r>
            <w:r>
              <w:rPr>
                <w:webHidden/>
              </w:rPr>
              <w:tab/>
            </w:r>
            <w:r>
              <w:rPr>
                <w:webHidden/>
              </w:rPr>
              <w:fldChar w:fldCharType="begin"/>
            </w:r>
            <w:r>
              <w:rPr>
                <w:webHidden/>
              </w:rPr>
              <w:instrText xml:space="preserve"> PAGEREF _Toc203744910 \h </w:instrText>
            </w:r>
            <w:r>
              <w:rPr>
                <w:webHidden/>
              </w:rPr>
            </w:r>
            <w:r>
              <w:rPr>
                <w:webHidden/>
              </w:rPr>
              <w:fldChar w:fldCharType="separate"/>
            </w:r>
            <w:r>
              <w:rPr>
                <w:webHidden/>
              </w:rPr>
              <w:t>14</w:t>
            </w:r>
            <w:r>
              <w:rPr>
                <w:webHidden/>
              </w:rPr>
              <w:fldChar w:fldCharType="end"/>
            </w:r>
          </w:hyperlink>
        </w:p>
        <w:p w14:paraId="3919815A" w14:textId="64E54F54" w:rsidR="003609D6" w:rsidRDefault="00467D7C" w:rsidP="00E3695F">
          <w:pPr>
            <w:rPr>
              <w:b/>
              <w:bCs/>
              <w:noProof/>
            </w:rPr>
          </w:pPr>
          <w:r>
            <w:rPr>
              <w:b/>
              <w:bCs/>
              <w:noProof/>
            </w:rPr>
            <w:fldChar w:fldCharType="end"/>
          </w:r>
        </w:p>
      </w:sdtContent>
    </w:sdt>
    <w:p w14:paraId="42AFFB45" w14:textId="77777777" w:rsidR="006D53F0" w:rsidRDefault="006D53F0" w:rsidP="00E3695F"/>
    <w:p w14:paraId="241E7550" w14:textId="77777777" w:rsidR="006D53F0" w:rsidRDefault="006D53F0" w:rsidP="00E3695F"/>
    <w:p w14:paraId="42A3945D" w14:textId="77777777" w:rsidR="006D53F0" w:rsidRDefault="006D53F0" w:rsidP="00E3695F"/>
    <w:p w14:paraId="5C545365" w14:textId="77777777" w:rsidR="00FB625D" w:rsidRDefault="00FB625D" w:rsidP="00E3695F"/>
    <w:p w14:paraId="49E7B64A" w14:textId="77777777" w:rsidR="00FB625D" w:rsidRDefault="00FB625D" w:rsidP="00E3695F"/>
    <w:p w14:paraId="65F41C47" w14:textId="77777777" w:rsidR="00FB625D" w:rsidRDefault="00FB625D" w:rsidP="00E3695F"/>
    <w:p w14:paraId="1BF2B699" w14:textId="77777777" w:rsidR="00FB625D" w:rsidRDefault="00FB625D" w:rsidP="00E3695F"/>
    <w:p w14:paraId="309868CC" w14:textId="77777777" w:rsidR="00FB625D" w:rsidRDefault="00FB625D" w:rsidP="00E3695F"/>
    <w:p w14:paraId="304DA2D2" w14:textId="77777777" w:rsidR="00FB625D" w:rsidRDefault="00FB625D" w:rsidP="00E3695F"/>
    <w:p w14:paraId="2936678D" w14:textId="77777777" w:rsidR="00FB625D" w:rsidRDefault="00FB625D" w:rsidP="00E3695F"/>
    <w:p w14:paraId="5DC7C3E0" w14:textId="77777777" w:rsidR="00FB625D" w:rsidRDefault="00FB625D" w:rsidP="00E3695F"/>
    <w:p w14:paraId="79F91A42" w14:textId="77777777" w:rsidR="00FB625D" w:rsidRDefault="00FB625D" w:rsidP="00E3695F"/>
    <w:p w14:paraId="6C31C6CD" w14:textId="77777777" w:rsidR="00FB625D" w:rsidRDefault="00FB625D" w:rsidP="00E3695F"/>
    <w:p w14:paraId="61EEBFF0" w14:textId="77777777" w:rsidR="00FB625D" w:rsidRDefault="00FB625D" w:rsidP="00E3695F"/>
    <w:p w14:paraId="6554CA8C" w14:textId="77777777" w:rsidR="00FB625D" w:rsidRDefault="00FB625D" w:rsidP="00E3695F"/>
    <w:p w14:paraId="5C840CD7" w14:textId="55AE256B" w:rsidR="00FB625D" w:rsidRPr="00FB625D" w:rsidRDefault="00FB625D" w:rsidP="00FB625D">
      <w:pPr>
        <w:jc w:val="center"/>
        <w:rPr>
          <w:sz w:val="22"/>
          <w:szCs w:val="22"/>
        </w:rPr>
      </w:pPr>
      <w:r w:rsidRPr="00FB625D">
        <w:rPr>
          <w:sz w:val="22"/>
          <w:szCs w:val="22"/>
        </w:rPr>
        <w:t>Note:</w:t>
      </w:r>
    </w:p>
    <w:p w14:paraId="2C30CAB2" w14:textId="2B19F19B" w:rsidR="00CA2A94" w:rsidRPr="00D84F0E" w:rsidRDefault="00D84F0E" w:rsidP="00D84F0E">
      <w:pPr>
        <w:jc w:val="center"/>
        <w:rPr>
          <w:sz w:val="20"/>
          <w:szCs w:val="20"/>
        </w:rPr>
      </w:pPr>
      <w:r w:rsidRPr="00D84F0E">
        <w:rPr>
          <w:sz w:val="20"/>
          <w:szCs w:val="20"/>
        </w:rPr>
        <w:t>Housing New Mexico | New Mexico Mortgage Finance Authority (MFA) reserves the right to change any information contained within this document at any time, with or without notice. Regular updates will be performed alongside the annual approval of the New Mexico Mortgage Finance Authority’s Qualified Allocation Plan (QAP), which is located on Housing New Mexico’s website. Housing New Mexico expects all users of this document to be diligent in utilizing the most recent version, located at: www.housingnm.org/developers/rental/bond-financing</w:t>
      </w:r>
      <w:r w:rsidR="00CA2A94">
        <w:br w:type="page"/>
      </w:r>
    </w:p>
    <w:p w14:paraId="5E405D3A" w14:textId="4938B2C9" w:rsidR="00CE3880" w:rsidRPr="00CE3880" w:rsidRDefault="00F074C3" w:rsidP="00681AED">
      <w:pPr>
        <w:pStyle w:val="Heading1"/>
      </w:pPr>
      <w:bookmarkStart w:id="1" w:name="_Toc203744893"/>
      <w:r>
        <w:lastRenderedPageBreak/>
        <w:t>General Requirements</w:t>
      </w:r>
      <w:bookmarkEnd w:id="1"/>
    </w:p>
    <w:p w14:paraId="6AAC1178" w14:textId="77777777" w:rsidR="004E10AF" w:rsidRPr="00654F19" w:rsidRDefault="004E10AF" w:rsidP="00654F19">
      <w:pPr>
        <w:pStyle w:val="Heading2"/>
      </w:pPr>
      <w:bookmarkStart w:id="2" w:name="_Toc203744894"/>
      <w:r w:rsidRPr="00654F19">
        <w:t>Four Percent Fixed Rate</w:t>
      </w:r>
      <w:bookmarkEnd w:id="2"/>
    </w:p>
    <w:p w14:paraId="6627122A" w14:textId="77777777" w:rsidR="004E10AF" w:rsidRPr="00607009" w:rsidRDefault="004E10AF" w:rsidP="004E10AF">
      <w:r>
        <w:t>O</w:t>
      </w:r>
      <w:r w:rsidRPr="00607009">
        <w:t xml:space="preserve">n December 27, 2020, the Consolidated Appropriations Act, 2021 (“H.R. 133”) was signed into law establishing a minimum credit of </w:t>
      </w:r>
      <w:r>
        <w:t>four</w:t>
      </w:r>
      <w:r w:rsidRPr="00607009">
        <w:t xml:space="preserve"> percent for Low Income Housing Tax Credit (LIHTC) projects. The </w:t>
      </w:r>
      <w:r>
        <w:t>four</w:t>
      </w:r>
      <w:r w:rsidRPr="00607009">
        <w:t xml:space="preserve"> percent </w:t>
      </w:r>
      <w:r>
        <w:t xml:space="preserve">(4%) </w:t>
      </w:r>
      <w:r w:rsidRPr="00607009">
        <w:t xml:space="preserve">LIHTC will provide approximately </w:t>
      </w:r>
      <w:r>
        <w:t>thirty</w:t>
      </w:r>
      <w:r w:rsidRPr="00607009">
        <w:t xml:space="preserve"> percent</w:t>
      </w:r>
      <w:r>
        <w:t xml:space="preserve"> (30%)</w:t>
      </w:r>
      <w:r w:rsidRPr="00607009">
        <w:t xml:space="preserve"> equity </w:t>
      </w:r>
      <w:r>
        <w:t>into</w:t>
      </w:r>
      <w:r w:rsidRPr="00607009">
        <w:t> a new or existing project.</w:t>
      </w:r>
    </w:p>
    <w:p w14:paraId="03F0D2D7" w14:textId="77777777" w:rsidR="004E10AF" w:rsidRPr="00607009" w:rsidRDefault="004E10AF" w:rsidP="004E10AF">
      <w:r w:rsidRPr="00607009">
        <w:t>The 4</w:t>
      </w:r>
      <w:r>
        <w:t>%</w:t>
      </w:r>
      <w:r w:rsidRPr="00607009">
        <w:t> low-income tax credit can bring equity into two types of projects:</w:t>
      </w:r>
    </w:p>
    <w:p w14:paraId="48D54611" w14:textId="77777777" w:rsidR="004E10AF" w:rsidRDefault="004E10AF" w:rsidP="004E10AF">
      <w:pPr>
        <w:pStyle w:val="ListParagraph"/>
        <w:numPr>
          <w:ilvl w:val="0"/>
          <w:numId w:val="16"/>
        </w:numPr>
      </w:pPr>
      <w:r w:rsidRPr="00607009">
        <w:t xml:space="preserve">In conjunction with Private Activity Bonds, </w:t>
      </w:r>
      <w:r>
        <w:t>4%</w:t>
      </w:r>
      <w:r w:rsidRPr="00607009">
        <w:t> low-income tax credit</w:t>
      </w:r>
      <w:r>
        <w:t>s</w:t>
      </w:r>
      <w:r w:rsidRPr="00607009">
        <w:t xml:space="preserve"> may be used for either new construction or</w:t>
      </w:r>
      <w:r>
        <w:t xml:space="preserve"> the</w:t>
      </w:r>
      <w:r w:rsidRPr="00607009">
        <w:t xml:space="preserve"> </w:t>
      </w:r>
      <w:r>
        <w:t>acquisition/</w:t>
      </w:r>
      <w:r w:rsidRPr="00607009">
        <w:t>rehabilitation of existing projects.</w:t>
      </w:r>
      <w:r>
        <w:t xml:space="preserve"> If the project </w:t>
      </w:r>
      <w:proofErr w:type="gramStart"/>
      <w:r>
        <w:t>is located in</w:t>
      </w:r>
      <w:proofErr w:type="gramEnd"/>
      <w:r>
        <w:t xml:space="preserve"> a Qualified Census Tract (QCT) or a Difficult to Develop Area (DDA), a “boost” of 130% may be applied under conditions specified in the QAP. </w:t>
      </w:r>
      <w:r w:rsidRPr="000F7500">
        <w:t>(The 4% acquisition tax credits are not eligible for the 130% “boost”)</w:t>
      </w:r>
    </w:p>
    <w:p w14:paraId="026A3EF3" w14:textId="401C9F05" w:rsidR="00E042A6" w:rsidRDefault="004E10AF" w:rsidP="00E042A6">
      <w:pPr>
        <w:pStyle w:val="ListParagraph"/>
        <w:numPr>
          <w:ilvl w:val="0"/>
          <w:numId w:val="16"/>
        </w:numPr>
      </w:pPr>
      <w:r w:rsidRPr="00607009">
        <w:t>In combination with the competitive 9</w:t>
      </w:r>
      <w:r>
        <w:t>%</w:t>
      </w:r>
      <w:r w:rsidRPr="00607009">
        <w:t xml:space="preserve"> tax credit, the 4</w:t>
      </w:r>
      <w:r>
        <w:t>%</w:t>
      </w:r>
      <w:r w:rsidRPr="00607009">
        <w:t> low-income tax credit may be used for the acquisition costs of existing buildings when completing rehabilitation.</w:t>
      </w:r>
      <w:r>
        <w:t xml:space="preserve"> (The 4% acquisition tax credits in the 9% round are not eligible for the 130% “boost”)</w:t>
      </w:r>
    </w:p>
    <w:p w14:paraId="312C797E" w14:textId="0DB6D177" w:rsidR="00E042A6" w:rsidRDefault="00E042A6" w:rsidP="00E042A6">
      <w:r>
        <w:t xml:space="preserve">To qualify, the project must comply with the Qualified Allocation Plan (QAP), as laid out by Housing New Mexico. </w:t>
      </w:r>
    </w:p>
    <w:p w14:paraId="123DA12E" w14:textId="77777777" w:rsidR="00E042A6" w:rsidRPr="00607009" w:rsidRDefault="00E042A6" w:rsidP="00E042A6">
      <w:r>
        <w:t xml:space="preserve">Note: </w:t>
      </w:r>
      <w:r w:rsidRPr="00607009">
        <w:t>The acquisition costs of the existing buildings are excluded from the basis boost of 130</w:t>
      </w:r>
      <w:r>
        <w:t>%</w:t>
      </w:r>
      <w:r w:rsidRPr="00607009">
        <w:t>.</w:t>
      </w:r>
    </w:p>
    <w:p w14:paraId="32E5B31E" w14:textId="77777777" w:rsidR="00E042A6" w:rsidRPr="00E042A6" w:rsidRDefault="00E042A6" w:rsidP="00E042A6">
      <w:pPr>
        <w:pStyle w:val="ListBullet"/>
        <w:numPr>
          <w:ilvl w:val="0"/>
          <w:numId w:val="0"/>
        </w:numPr>
      </w:pPr>
    </w:p>
    <w:p w14:paraId="15789FD0" w14:textId="77777777" w:rsidR="004E10AF" w:rsidRPr="00654F19" w:rsidRDefault="004E10AF" w:rsidP="00654F19">
      <w:pPr>
        <w:pStyle w:val="Heading2"/>
      </w:pPr>
      <w:bookmarkStart w:id="3" w:name="_Toc203744895"/>
      <w:r w:rsidRPr="00654F19">
        <w:t>Private Activity Bonds</w:t>
      </w:r>
      <w:bookmarkEnd w:id="3"/>
    </w:p>
    <w:p w14:paraId="4F979C1E" w14:textId="77777777" w:rsidR="004E10AF" w:rsidRDefault="004E10AF" w:rsidP="004E10AF">
      <w:r w:rsidRPr="00607009">
        <w:t>Developers that use private activity bond financing receive 4</w:t>
      </w:r>
      <w:r>
        <w:t>%</w:t>
      </w:r>
      <w:r w:rsidRPr="00607009">
        <w:t xml:space="preserve"> annual tax credits for all costs included on eligible basis for new construction and acquisition/rehabilitation projects </w:t>
      </w:r>
      <w:r>
        <w:t xml:space="preserve">over </w:t>
      </w:r>
      <w:r w:rsidRPr="00607009">
        <w:t xml:space="preserve">a period of 10 years. Any project that </w:t>
      </w:r>
      <w:proofErr w:type="gramStart"/>
      <w:r w:rsidRPr="00607009">
        <w:t>is located in</w:t>
      </w:r>
      <w:proofErr w:type="gramEnd"/>
      <w:r w:rsidRPr="00607009">
        <w:t xml:space="preserve"> areas designated as Difficult to Develop Areas (DDA) or areas within a Qualified Census Tract (QCT) are eligible for an additional 30</w:t>
      </w:r>
      <w:r>
        <w:t>%</w:t>
      </w:r>
      <w:r w:rsidRPr="00607009">
        <w:t xml:space="preserve"> in eligible basis (130</w:t>
      </w:r>
      <w:r>
        <w:t>%</w:t>
      </w:r>
      <w:r w:rsidRPr="00607009">
        <w:t> boost) for new construction or rehabilitation.</w:t>
      </w:r>
    </w:p>
    <w:p w14:paraId="38989825" w14:textId="07453E1D" w:rsidR="00F44721" w:rsidRDefault="00F44721" w:rsidP="00F44721">
      <w:r>
        <w:t>At least 50% of the b</w:t>
      </w:r>
      <w:r w:rsidRPr="00607009">
        <w:t xml:space="preserve">onds must </w:t>
      </w:r>
      <w:r>
        <w:t xml:space="preserve">cover </w:t>
      </w:r>
      <w:r w:rsidRPr="00607009">
        <w:t xml:space="preserve">the </w:t>
      </w:r>
      <w:r>
        <w:t xml:space="preserve">aggregate eligible basis plus the cost of the land </w:t>
      </w:r>
      <w:r w:rsidRPr="00607009">
        <w:t xml:space="preserve">to be eligible for </w:t>
      </w:r>
      <w:r>
        <w:t>4%</w:t>
      </w:r>
      <w:r w:rsidRPr="00607009">
        <w:t> tax credits.</w:t>
      </w:r>
    </w:p>
    <w:p w14:paraId="02BF3C60" w14:textId="77777777" w:rsidR="00F44721" w:rsidRDefault="00F44721" w:rsidP="004E10AF"/>
    <w:p w14:paraId="563F7B5D" w14:textId="6F24D23B" w:rsidR="004E10AF" w:rsidRPr="00607009" w:rsidRDefault="004E10AF" w:rsidP="00E042A6"/>
    <w:p w14:paraId="5C6C75C7" w14:textId="77777777" w:rsidR="004E10AF" w:rsidRPr="00654F19" w:rsidRDefault="004E10AF" w:rsidP="00654F19">
      <w:pPr>
        <w:pStyle w:val="Heading2"/>
      </w:pPr>
      <w:bookmarkStart w:id="4" w:name="_Toc203744896"/>
      <w:r w:rsidRPr="00654F19">
        <w:t>Combining 9% Awards with 4% Acquisition Credits</w:t>
      </w:r>
      <w:bookmarkEnd w:id="4"/>
    </w:p>
    <w:p w14:paraId="47EF28B6" w14:textId="19C38B1F" w:rsidR="004E10AF" w:rsidRDefault="004E10AF" w:rsidP="004E10AF">
      <w:r w:rsidRPr="00607009">
        <w:t>Acquisition/Rehabilitation developments that receive LIHTC awards in the 9</w:t>
      </w:r>
      <w:r>
        <w:t>%</w:t>
      </w:r>
      <w:r w:rsidRPr="00607009">
        <w:t xml:space="preserve"> competitive round may utilize the </w:t>
      </w:r>
      <w:r>
        <w:t>4%</w:t>
      </w:r>
      <w:r w:rsidRPr="00607009">
        <w:t xml:space="preserve"> LIHTC credits for the acquisition cost of existing buildings. The </w:t>
      </w:r>
      <w:r>
        <w:t>4%</w:t>
      </w:r>
      <w:r w:rsidRPr="00607009">
        <w:t> acquisition credit is excluded from the QCT/DDA basis boost of 130</w:t>
      </w:r>
      <w:r>
        <w:t>%</w:t>
      </w:r>
      <w:r w:rsidRPr="00607009">
        <w:t xml:space="preserve"> percent.</w:t>
      </w:r>
      <w:r>
        <w:t xml:space="preserve"> For more information on 9% tax credits, please refer to the Qualified Allocation Plan (QAP).</w:t>
      </w:r>
    </w:p>
    <w:p w14:paraId="3E22CEDA" w14:textId="5E225F88" w:rsidR="0032482A" w:rsidRPr="00654F19" w:rsidRDefault="006569D2" w:rsidP="00654F19">
      <w:pPr>
        <w:pStyle w:val="Heading2"/>
      </w:pPr>
      <w:bookmarkStart w:id="5" w:name="_Toc203744897"/>
      <w:r w:rsidRPr="00654F19">
        <w:t>Application and Processing</w:t>
      </w:r>
      <w:bookmarkEnd w:id="5"/>
    </w:p>
    <w:p w14:paraId="58DB024D" w14:textId="65B2CAFC" w:rsidR="006569D2" w:rsidRPr="0020272C" w:rsidRDefault="006569D2" w:rsidP="006569D2">
      <w:r w:rsidRPr="0020272C">
        <w:t xml:space="preserve">Following the submission of a complete development project application by the developer, </w:t>
      </w:r>
      <w:r w:rsidR="00A0555F" w:rsidRPr="0020272C">
        <w:t xml:space="preserve">Housing New Mexico </w:t>
      </w:r>
      <w:r w:rsidRPr="0020272C">
        <w:t xml:space="preserve">will begin processing the request. </w:t>
      </w:r>
      <w:r w:rsidR="00CE6AAF">
        <w:t>Projects</w:t>
      </w:r>
      <w:r w:rsidRPr="0020272C">
        <w:t xml:space="preserve"> which require </w:t>
      </w:r>
      <w:r w:rsidR="00A0555F" w:rsidRPr="0020272C">
        <w:t xml:space="preserve">Private Activity Bond </w:t>
      </w:r>
      <w:r w:rsidR="00773984">
        <w:t xml:space="preserve">(PAB) </w:t>
      </w:r>
      <w:r w:rsidR="00A0555F" w:rsidRPr="0020272C">
        <w:t xml:space="preserve">Volume Cap </w:t>
      </w:r>
      <w:r w:rsidRPr="0020272C">
        <w:t xml:space="preserve">allocations should be submitted to </w:t>
      </w:r>
      <w:r w:rsidR="007006EF">
        <w:t>Housing New Mexico</w:t>
      </w:r>
      <w:r w:rsidRPr="0020272C">
        <w:t xml:space="preserve"> </w:t>
      </w:r>
      <w:r w:rsidRPr="003609D6">
        <w:rPr>
          <w:u w:val="single"/>
        </w:rPr>
        <w:t xml:space="preserve">at least 60 days prior to the </w:t>
      </w:r>
      <w:r w:rsidR="00AA29CE">
        <w:rPr>
          <w:u w:val="single"/>
        </w:rPr>
        <w:t xml:space="preserve">New Mexico </w:t>
      </w:r>
      <w:r w:rsidRPr="003609D6">
        <w:rPr>
          <w:u w:val="single"/>
        </w:rPr>
        <w:t xml:space="preserve">State Board of Finance's </w:t>
      </w:r>
      <w:r w:rsidR="00773984">
        <w:rPr>
          <w:u w:val="single"/>
        </w:rPr>
        <w:t xml:space="preserve">(SBOF) </w:t>
      </w:r>
      <w:r w:rsidR="00CE6AAF">
        <w:rPr>
          <w:u w:val="single"/>
        </w:rPr>
        <w:t>request deadline</w:t>
      </w:r>
      <w:r w:rsidR="00AA29CE">
        <w:rPr>
          <w:rStyle w:val="FootnoteReference"/>
          <w:u w:val="single"/>
        </w:rPr>
        <w:footnoteReference w:id="1"/>
      </w:r>
      <w:r w:rsidRPr="003609D6">
        <w:rPr>
          <w:u w:val="single"/>
        </w:rPr>
        <w:t xml:space="preserve"> for the </w:t>
      </w:r>
      <w:r w:rsidR="00773984">
        <w:rPr>
          <w:u w:val="single"/>
        </w:rPr>
        <w:t xml:space="preserve">monthly </w:t>
      </w:r>
      <w:r w:rsidRPr="003609D6">
        <w:rPr>
          <w:u w:val="single"/>
        </w:rPr>
        <w:t xml:space="preserve">meeting in which </w:t>
      </w:r>
      <w:r w:rsidR="00773984">
        <w:rPr>
          <w:u w:val="single"/>
        </w:rPr>
        <w:t>the V</w:t>
      </w:r>
      <w:r w:rsidRPr="003609D6">
        <w:rPr>
          <w:u w:val="single"/>
        </w:rPr>
        <w:t xml:space="preserve">olume </w:t>
      </w:r>
      <w:r w:rsidR="00773984">
        <w:rPr>
          <w:u w:val="single"/>
        </w:rPr>
        <w:t>C</w:t>
      </w:r>
      <w:r w:rsidRPr="003609D6">
        <w:rPr>
          <w:u w:val="single"/>
        </w:rPr>
        <w:t xml:space="preserve">ap </w:t>
      </w:r>
      <w:r w:rsidR="00773984">
        <w:rPr>
          <w:u w:val="single"/>
        </w:rPr>
        <w:t>is being requested</w:t>
      </w:r>
      <w:r w:rsidR="00CE6AAF">
        <w:t xml:space="preserve"> </w:t>
      </w:r>
      <w:r w:rsidRPr="0020272C">
        <w:t>(</w:t>
      </w:r>
      <w:r w:rsidR="00CE6AAF">
        <w:t>b</w:t>
      </w:r>
      <w:r w:rsidRPr="0020272C">
        <w:t xml:space="preserve">ecause </w:t>
      </w:r>
      <w:r w:rsidR="00356AB8" w:rsidRPr="0020272C">
        <w:t>PAB V</w:t>
      </w:r>
      <w:r w:rsidRPr="0020272C">
        <w:t xml:space="preserve">olume </w:t>
      </w:r>
      <w:r w:rsidR="00356AB8" w:rsidRPr="0020272C">
        <w:t>C</w:t>
      </w:r>
      <w:r w:rsidRPr="0020272C">
        <w:t xml:space="preserve">ap is </w:t>
      </w:r>
      <w:r w:rsidR="00CE6AAF">
        <w:t xml:space="preserve">a </w:t>
      </w:r>
      <w:r w:rsidRPr="0020272C">
        <w:t xml:space="preserve">competitive </w:t>
      </w:r>
      <w:r w:rsidR="00356AB8" w:rsidRPr="0020272C">
        <w:t xml:space="preserve">resource </w:t>
      </w:r>
      <w:r w:rsidRPr="0020272C">
        <w:t xml:space="preserve">and typically awarded in the first quarter of each calendar year, this two-month advance deadline would require a request to </w:t>
      </w:r>
      <w:r w:rsidR="007006EF">
        <w:t>Housing New Mexico</w:t>
      </w:r>
      <w:r w:rsidRPr="0020272C">
        <w:t xml:space="preserve"> no later than October 15th of the year prior to the year of the desired allocation.) Additional time may be needed to obtain </w:t>
      </w:r>
      <w:r w:rsidR="007006EF">
        <w:t>Housing New Mexico</w:t>
      </w:r>
      <w:r w:rsidR="00356AB8" w:rsidRPr="0020272C">
        <w:t>’s</w:t>
      </w:r>
      <w:r w:rsidRPr="0020272C">
        <w:t xml:space="preserve"> approval for credit enhancement</w:t>
      </w:r>
      <w:r w:rsidR="00356AB8" w:rsidRPr="0020272C">
        <w:t>.</w:t>
      </w:r>
    </w:p>
    <w:p w14:paraId="64F41844" w14:textId="08A40459" w:rsidR="006569D2" w:rsidRPr="0020272C" w:rsidRDefault="00356AB8" w:rsidP="006569D2">
      <w:r w:rsidRPr="0020272C">
        <w:rPr>
          <w:b/>
          <w:bCs/>
        </w:rPr>
        <w:t>Housing New Mexico</w:t>
      </w:r>
      <w:r w:rsidR="006569D2" w:rsidRPr="0020272C">
        <w:rPr>
          <w:b/>
          <w:bCs/>
        </w:rPr>
        <w:t xml:space="preserve"> will adopt an inducement resolution, at the earliest available board meeting following the approval for a Draft Determination Letter (42m). If all requirements are met promptly by the developer, the bond closing can occur within 90 to 120 days of the delivery of firm financing and credit enhancement commitments. The second resolution required by </w:t>
      </w:r>
      <w:r w:rsidR="007006EF">
        <w:rPr>
          <w:b/>
          <w:bCs/>
        </w:rPr>
        <w:t>Housing New Mexico</w:t>
      </w:r>
      <w:r w:rsidR="006569D2" w:rsidRPr="0020272C">
        <w:rPr>
          <w:b/>
          <w:bCs/>
        </w:rPr>
        <w:t>—the bond resolution itself—cannot be passed until all credit enhancement and financing commitments are in place. The process would proceed as follows:</w:t>
      </w:r>
    </w:p>
    <w:p w14:paraId="0353CFCF" w14:textId="2A0351BB" w:rsidR="006569D2" w:rsidRPr="0020272C" w:rsidRDefault="006569D2" w:rsidP="00B75C03">
      <w:pPr>
        <w:numPr>
          <w:ilvl w:val="0"/>
          <w:numId w:val="14"/>
        </w:numPr>
        <w:ind w:hanging="720"/>
      </w:pPr>
      <w:r w:rsidRPr="0020272C">
        <w:t xml:space="preserve">Developer and </w:t>
      </w:r>
      <w:r w:rsidR="00BF5935">
        <w:t>Housing New Mexico</w:t>
      </w:r>
      <w:r w:rsidR="00BF5935" w:rsidRPr="0020272C">
        <w:t xml:space="preserve"> </w:t>
      </w:r>
      <w:r w:rsidRPr="0020272C">
        <w:t xml:space="preserve">staff meet to discuss application and volume cap </w:t>
      </w:r>
      <w:r w:rsidR="00986F1C" w:rsidRPr="0020272C">
        <w:t>process</w:t>
      </w:r>
      <w:r w:rsidR="00D34CE0">
        <w:t>.</w:t>
      </w:r>
    </w:p>
    <w:p w14:paraId="4157E947" w14:textId="32D6ECBA" w:rsidR="006569D2" w:rsidRPr="0020272C" w:rsidRDefault="006569D2" w:rsidP="00B75C03">
      <w:pPr>
        <w:numPr>
          <w:ilvl w:val="0"/>
          <w:numId w:val="14"/>
        </w:numPr>
        <w:ind w:hanging="720"/>
      </w:pPr>
      <w:r w:rsidRPr="0020272C">
        <w:t xml:space="preserve">An “Intent to Submit letter and Project Synopsis” is provided to </w:t>
      </w:r>
      <w:r w:rsidR="00BF5935">
        <w:t xml:space="preserve">Housing New Mexico </w:t>
      </w:r>
      <w:r w:rsidRPr="0020272C">
        <w:t>at least 30 days prior to application (Expires after 180 days and a new letter will be required)</w:t>
      </w:r>
      <w:r w:rsidR="00D46A9F">
        <w:t>.</w:t>
      </w:r>
    </w:p>
    <w:p w14:paraId="649D21A9" w14:textId="5D4D844F" w:rsidR="006569D2" w:rsidRPr="0020272C" w:rsidRDefault="00E92571" w:rsidP="00B75C03">
      <w:pPr>
        <w:numPr>
          <w:ilvl w:val="0"/>
          <w:numId w:val="14"/>
        </w:numPr>
        <w:ind w:hanging="720"/>
      </w:pPr>
      <w:r w:rsidRPr="00607009">
        <w:lastRenderedPageBreak/>
        <w:t xml:space="preserve">Developer </w:t>
      </w:r>
      <w:proofErr w:type="gramStart"/>
      <w:r w:rsidRPr="00607009">
        <w:t xml:space="preserve">submits </w:t>
      </w:r>
      <w:r>
        <w:t xml:space="preserve">an </w:t>
      </w:r>
      <w:r w:rsidRPr="00607009">
        <w:t>application</w:t>
      </w:r>
      <w:proofErr w:type="gramEnd"/>
      <w:r w:rsidRPr="00607009">
        <w:t xml:space="preserve"> to </w:t>
      </w:r>
      <w:r>
        <w:t>Housing N</w:t>
      </w:r>
      <w:r w:rsidR="001D3478">
        <w:t xml:space="preserve">ew </w:t>
      </w:r>
      <w:r>
        <w:t>M</w:t>
      </w:r>
      <w:r w:rsidR="001D3478">
        <w:t>exico</w:t>
      </w:r>
      <w:r w:rsidRPr="00607009">
        <w:t xml:space="preserve"> to issue Low Income Housing Tax Credits (LIHTC) </w:t>
      </w:r>
      <w:r>
        <w:t>with de minimis errors for financial feasibility, meeting all requirements of the QAP</w:t>
      </w:r>
      <w:r w:rsidR="00A43710">
        <w:t>*</w:t>
      </w:r>
      <w:r w:rsidR="00A34660">
        <w:t xml:space="preserve"> </w:t>
      </w:r>
      <w:r>
        <w:t>with the inclusion of all additional documents and fees</w:t>
      </w:r>
      <w:r w:rsidR="00D46A9F">
        <w:t>.</w:t>
      </w:r>
    </w:p>
    <w:p w14:paraId="2E7A6A0F" w14:textId="70DB97CA" w:rsidR="00AB136F" w:rsidRPr="00607009" w:rsidRDefault="00AB136F" w:rsidP="00B75C03">
      <w:pPr>
        <w:numPr>
          <w:ilvl w:val="0"/>
          <w:numId w:val="14"/>
        </w:numPr>
        <w:spacing w:line="259" w:lineRule="auto"/>
        <w:ind w:hanging="720"/>
      </w:pPr>
      <w:r>
        <w:t>Jurisdictional notices are sent to the Chief Executive Officer in the City or Municipality where the project is located. There is a 30-day waiting period for a response</w:t>
      </w:r>
      <w:r w:rsidR="00D46A9F">
        <w:t>.</w:t>
      </w:r>
    </w:p>
    <w:p w14:paraId="368D16B9" w14:textId="138DFE54" w:rsidR="00A22FE2" w:rsidRPr="00607009" w:rsidRDefault="00A22FE2" w:rsidP="00B75C03">
      <w:pPr>
        <w:numPr>
          <w:ilvl w:val="0"/>
          <w:numId w:val="14"/>
        </w:numPr>
        <w:spacing w:line="259" w:lineRule="auto"/>
        <w:ind w:hanging="720"/>
      </w:pPr>
      <w:r>
        <w:t>Housing N</w:t>
      </w:r>
      <w:r w:rsidR="00BF5935">
        <w:t xml:space="preserve">ew </w:t>
      </w:r>
      <w:r>
        <w:t>M</w:t>
      </w:r>
      <w:r w:rsidR="00BF5935">
        <w:t>exico</w:t>
      </w:r>
      <w:r w:rsidRPr="00607009">
        <w:t xml:space="preserve"> completes </w:t>
      </w:r>
      <w:r w:rsidR="00A34660">
        <w:t xml:space="preserve">a </w:t>
      </w:r>
      <w:r w:rsidRPr="00607009">
        <w:t>Determination of Consistency with the</w:t>
      </w:r>
      <w:r w:rsidRPr="00016A28">
        <w:t xml:space="preserve"> </w:t>
      </w:r>
      <w:bookmarkStart w:id="6" w:name="_Hlk176861193"/>
      <w:r w:rsidRPr="00607009">
        <w:t>QAP</w:t>
      </w:r>
      <w:bookmarkEnd w:id="6"/>
      <w:r>
        <w:t xml:space="preserve"> </w:t>
      </w:r>
      <w:r w:rsidRPr="00607009">
        <w:t>(</w:t>
      </w:r>
      <w:r>
        <w:t>“42m” letter or “</w:t>
      </w:r>
      <w:r w:rsidRPr="00607009">
        <w:t>Draft Determination</w:t>
      </w:r>
      <w:r>
        <w:t>”</w:t>
      </w:r>
      <w:r w:rsidRPr="00607009">
        <w:t xml:space="preserve"> Letter</w:t>
      </w:r>
      <w:r w:rsidR="00AA29CE">
        <w:rPr>
          <w:rStyle w:val="FootnoteReference"/>
        </w:rPr>
        <w:footnoteReference w:id="2"/>
      </w:r>
      <w:r w:rsidR="00D46A9F">
        <w:t>)</w:t>
      </w:r>
    </w:p>
    <w:p w14:paraId="42836FCA" w14:textId="6EA55AFB" w:rsidR="006569D2" w:rsidRPr="0020272C" w:rsidRDefault="005E3285" w:rsidP="00B75C03">
      <w:pPr>
        <w:numPr>
          <w:ilvl w:val="0"/>
          <w:numId w:val="14"/>
        </w:numPr>
        <w:ind w:hanging="720"/>
      </w:pPr>
      <w:r>
        <w:t>Housing New Mexico</w:t>
      </w:r>
      <w:r w:rsidR="006569D2" w:rsidRPr="0020272C">
        <w:t xml:space="preserve"> provides an Inducement Resolution</w:t>
      </w:r>
      <w:r w:rsidR="00D46A9F">
        <w:t>.</w:t>
      </w:r>
    </w:p>
    <w:p w14:paraId="476462A3" w14:textId="057E6D76" w:rsidR="006569D2" w:rsidRPr="0020272C" w:rsidRDefault="00325D90" w:rsidP="00B75C03">
      <w:pPr>
        <w:numPr>
          <w:ilvl w:val="0"/>
          <w:numId w:val="14"/>
        </w:numPr>
        <w:ind w:hanging="720"/>
      </w:pPr>
      <w:r w:rsidRPr="00607009">
        <w:t xml:space="preserve">Developer and </w:t>
      </w:r>
      <w:r>
        <w:t>Housing N</w:t>
      </w:r>
      <w:r w:rsidR="005E3285">
        <w:t xml:space="preserve">ew </w:t>
      </w:r>
      <w:r>
        <w:t>M</w:t>
      </w:r>
      <w:r w:rsidR="005E3285">
        <w:t>exico</w:t>
      </w:r>
      <w:r w:rsidRPr="00607009">
        <w:t xml:space="preserve"> staff prepare and submit application to </w:t>
      </w:r>
      <w:r w:rsidR="005E3285">
        <w:t xml:space="preserve">the New Mexico </w:t>
      </w:r>
      <w:r w:rsidRPr="00607009">
        <w:t>State Board of Finance (SBOF</w:t>
      </w:r>
      <w:r>
        <w:t>) inclusive of all fees</w:t>
      </w:r>
      <w:r w:rsidR="00AA29CE">
        <w:rPr>
          <w:rStyle w:val="FootnoteReference"/>
        </w:rPr>
        <w:footnoteReference w:id="3"/>
      </w:r>
      <w:r w:rsidR="00D46A9F">
        <w:t>.</w:t>
      </w:r>
    </w:p>
    <w:p w14:paraId="2BD93D90" w14:textId="34011D10" w:rsidR="002C13A1" w:rsidRDefault="007006EF" w:rsidP="00B75C03">
      <w:pPr>
        <w:numPr>
          <w:ilvl w:val="0"/>
          <w:numId w:val="14"/>
        </w:numPr>
        <w:ind w:hanging="720"/>
      </w:pPr>
      <w:r>
        <w:t>Housing New Mexico</w:t>
      </w:r>
      <w:r w:rsidR="009432CF">
        <w:t xml:space="preserve"> collects </w:t>
      </w:r>
      <w:r w:rsidR="002C13A1">
        <w:t>50% of Cost-of-Issuance</w:t>
      </w:r>
      <w:r w:rsidR="009432CF">
        <w:rPr>
          <w:rStyle w:val="FootnoteReference"/>
        </w:rPr>
        <w:footnoteReference w:id="4"/>
      </w:r>
      <w:r w:rsidR="009432CF">
        <w:t>.</w:t>
      </w:r>
    </w:p>
    <w:p w14:paraId="7128E147" w14:textId="2D30EA11" w:rsidR="006569D2" w:rsidRPr="0020272C" w:rsidRDefault="006569D2" w:rsidP="00B75C03">
      <w:pPr>
        <w:numPr>
          <w:ilvl w:val="0"/>
          <w:numId w:val="14"/>
        </w:numPr>
        <w:ind w:hanging="720"/>
      </w:pPr>
      <w:r w:rsidRPr="0020272C">
        <w:t xml:space="preserve">SBOF acts on request for </w:t>
      </w:r>
      <w:r w:rsidR="0024451E">
        <w:t>V</w:t>
      </w:r>
      <w:r w:rsidR="00986F1C" w:rsidRPr="0020272C">
        <w:t>olume</w:t>
      </w:r>
      <w:r w:rsidRPr="0020272C">
        <w:t xml:space="preserve"> </w:t>
      </w:r>
      <w:r w:rsidR="0024451E">
        <w:t>C</w:t>
      </w:r>
      <w:r w:rsidRPr="0020272C">
        <w:t>a</w:t>
      </w:r>
      <w:r w:rsidR="00D46A9F">
        <w:t>p</w:t>
      </w:r>
      <w:r w:rsidRPr="0020272C">
        <w:t xml:space="preserve"> and, if </w:t>
      </w:r>
      <w:r w:rsidR="00986F1C" w:rsidRPr="0020272C">
        <w:t>successful</w:t>
      </w:r>
      <w:r w:rsidR="00D46A9F">
        <w:t>,</w:t>
      </w:r>
    </w:p>
    <w:p w14:paraId="4857475F" w14:textId="29917027" w:rsidR="006569D2" w:rsidRPr="0020272C" w:rsidRDefault="00986F1C" w:rsidP="00B75C03">
      <w:pPr>
        <w:numPr>
          <w:ilvl w:val="0"/>
          <w:numId w:val="14"/>
        </w:numPr>
        <w:ind w:hanging="720"/>
      </w:pPr>
      <w:r w:rsidRPr="0020272C">
        <w:t>The Developer</w:t>
      </w:r>
      <w:r w:rsidR="006569D2" w:rsidRPr="0020272C">
        <w:t xml:space="preserve"> arranges </w:t>
      </w:r>
      <w:r w:rsidR="006532AA">
        <w:t>Due Diligence</w:t>
      </w:r>
      <w:r w:rsidR="006569D2" w:rsidRPr="0020272C">
        <w:t xml:space="preserve"> meetings with all financial interests and counsel</w:t>
      </w:r>
      <w:r w:rsidR="00CA4F20">
        <w:t>s</w:t>
      </w:r>
      <w:r w:rsidR="006569D2" w:rsidRPr="0020272C">
        <w:t xml:space="preserve"> </w:t>
      </w:r>
      <w:r w:rsidRPr="0020272C">
        <w:t>represented</w:t>
      </w:r>
      <w:r w:rsidR="004909F7" w:rsidRPr="0020272C">
        <w:t>,</w:t>
      </w:r>
      <w:r w:rsidR="00CA4F20">
        <w:t xml:space="preserve"> which will continue to </w:t>
      </w:r>
      <w:r w:rsidR="0066162A">
        <w:t>C</w:t>
      </w:r>
      <w:r w:rsidR="0024451E">
        <w:t>losing</w:t>
      </w:r>
      <w:r w:rsidR="00AA29CE">
        <w:rPr>
          <w:rStyle w:val="FootnoteReference"/>
        </w:rPr>
        <w:footnoteReference w:id="5"/>
      </w:r>
      <w:r w:rsidR="00D46A9F">
        <w:t>.</w:t>
      </w:r>
    </w:p>
    <w:p w14:paraId="2C3E615B" w14:textId="2E4E3711" w:rsidR="006569D2" w:rsidRDefault="00180122" w:rsidP="00B75C03">
      <w:pPr>
        <w:numPr>
          <w:ilvl w:val="0"/>
          <w:numId w:val="14"/>
        </w:numPr>
        <w:ind w:hanging="720"/>
      </w:pPr>
      <w:r>
        <w:t>Housing New Mexico</w:t>
      </w:r>
      <w:r w:rsidR="006569D2" w:rsidRPr="0020272C">
        <w:t xml:space="preserve"> publicizes</w:t>
      </w:r>
      <w:r w:rsidR="008F2165">
        <w:t>,</w:t>
      </w:r>
      <w:r w:rsidR="006569D2" w:rsidRPr="0020272C">
        <w:t xml:space="preserve"> </w:t>
      </w:r>
      <w:r w:rsidR="008F2165" w:rsidRPr="0020272C">
        <w:t>arranges</w:t>
      </w:r>
      <w:r w:rsidR="008F2165">
        <w:t>, and</w:t>
      </w:r>
      <w:r>
        <w:t xml:space="preserve"> hosts a </w:t>
      </w:r>
      <w:r w:rsidR="006569D2" w:rsidRPr="0020272C">
        <w:t>hearing</w:t>
      </w:r>
      <w:r>
        <w:t xml:space="preserve"> in accordance with the Tax Equity </w:t>
      </w:r>
      <w:r w:rsidR="009038D7">
        <w:t>and Fiscal Responsibility Act (TEFRA)</w:t>
      </w:r>
      <w:r w:rsidR="0024451E">
        <w:t>.</w:t>
      </w:r>
    </w:p>
    <w:p w14:paraId="11D71516" w14:textId="5A8290B5" w:rsidR="009038D7" w:rsidRDefault="009038D7" w:rsidP="00B75C03">
      <w:pPr>
        <w:numPr>
          <w:ilvl w:val="1"/>
          <w:numId w:val="14"/>
        </w:numPr>
        <w:ind w:hanging="720"/>
      </w:pPr>
      <w:r>
        <w:t>TEFRA Documents are drafted by Housing</w:t>
      </w:r>
      <w:r w:rsidR="007E779B">
        <w:t xml:space="preserve"> New Mexico’s selected </w:t>
      </w:r>
      <w:r w:rsidR="00973F16">
        <w:t>B</w:t>
      </w:r>
      <w:r w:rsidR="007E779B">
        <w:t xml:space="preserve">ond </w:t>
      </w:r>
      <w:r w:rsidR="00973F16">
        <w:t>C</w:t>
      </w:r>
      <w:r w:rsidR="007E779B">
        <w:t xml:space="preserve">ounsel and </w:t>
      </w:r>
      <w:r w:rsidR="001B213B">
        <w:t>presented to the State of New Mexico Governor for approval and signature.</w:t>
      </w:r>
    </w:p>
    <w:p w14:paraId="20DDDE86" w14:textId="47B9684E" w:rsidR="008A7DC2" w:rsidRDefault="008A7DC2" w:rsidP="00B75C03">
      <w:pPr>
        <w:numPr>
          <w:ilvl w:val="0"/>
          <w:numId w:val="14"/>
        </w:numPr>
        <w:ind w:hanging="720"/>
      </w:pPr>
      <w:r>
        <w:t>Housing New Mexico staff presents the request for a Bond Resolution to internal committees</w:t>
      </w:r>
      <w:r w:rsidR="00D46C04">
        <w:t xml:space="preserve"> and Board of Directors for approval.</w:t>
      </w:r>
    </w:p>
    <w:p w14:paraId="083C5B7E" w14:textId="10165464" w:rsidR="00973F16" w:rsidRDefault="00973F16" w:rsidP="00B75C03">
      <w:pPr>
        <w:numPr>
          <w:ilvl w:val="1"/>
          <w:numId w:val="14"/>
        </w:numPr>
        <w:ind w:hanging="720"/>
      </w:pPr>
      <w:r>
        <w:t>Bond Resolution is drafted by Housing New Mexico’s selected Bond Counsel.</w:t>
      </w:r>
    </w:p>
    <w:p w14:paraId="1BD212C5" w14:textId="706A3FCF" w:rsidR="006569D2" w:rsidRPr="0020272C" w:rsidRDefault="009432CF" w:rsidP="009432CF">
      <w:pPr>
        <w:numPr>
          <w:ilvl w:val="0"/>
          <w:numId w:val="14"/>
        </w:numPr>
        <w:ind w:hanging="720"/>
      </w:pPr>
      <w:r>
        <w:lastRenderedPageBreak/>
        <w:t xml:space="preserve">Upon closing, all documents are executed, and </w:t>
      </w:r>
      <w:r w:rsidR="004E10AF">
        <w:t>the remaining</w:t>
      </w:r>
      <w:r>
        <w:t xml:space="preserve"> Cost-of-Issuance is collected.</w:t>
      </w:r>
    </w:p>
    <w:p w14:paraId="1A7FD565" w14:textId="5D98BD5D" w:rsidR="006569D2" w:rsidRPr="00654F19" w:rsidRDefault="006569D2" w:rsidP="00654F19">
      <w:pPr>
        <w:pStyle w:val="Heading2"/>
      </w:pPr>
      <w:bookmarkStart w:id="7" w:name="_Toc203744898"/>
      <w:r w:rsidRPr="00654F19">
        <w:t>Tax Credit Review</w:t>
      </w:r>
      <w:bookmarkEnd w:id="7"/>
    </w:p>
    <w:p w14:paraId="34A36DD6" w14:textId="5827C4FA" w:rsidR="006569D2" w:rsidRPr="0020272C" w:rsidRDefault="009432CF" w:rsidP="006569D2">
      <w:r>
        <w:t xml:space="preserve">If tax-exempt bonds are being issued in conjunction with 4% LIHTC, </w:t>
      </w:r>
      <w:r w:rsidR="006569D2" w:rsidRPr="0020272C">
        <w:t>a complete 4% Tax Credit Application</w:t>
      </w:r>
      <w:r w:rsidR="00A43710">
        <w:t xml:space="preserve"> must receive determination that the project is </w:t>
      </w:r>
      <w:r w:rsidR="00A43710" w:rsidRPr="0020272C">
        <w:t>consistent with the QAP</w:t>
      </w:r>
      <w:r w:rsidR="00A43710">
        <w:t>*</w:t>
      </w:r>
      <w:r w:rsidR="006569D2" w:rsidRPr="0020272C">
        <w:t>. Please refer to the applicable year QAP</w:t>
      </w:r>
      <w:r w:rsidR="00A43710">
        <w:t>*</w:t>
      </w:r>
      <w:r w:rsidR="006569D2" w:rsidRPr="0020272C">
        <w:t xml:space="preserve">, underwriting </w:t>
      </w:r>
      <w:r w:rsidR="00C11094">
        <w:t>supplement</w:t>
      </w:r>
      <w:r w:rsidR="00C11094" w:rsidRPr="0020272C">
        <w:t xml:space="preserve"> </w:t>
      </w:r>
      <w:r w:rsidR="006569D2" w:rsidRPr="0020272C">
        <w:t>and mandatory design standards for additional information and requirements</w:t>
      </w:r>
      <w:r w:rsidR="00A43710">
        <w:t>.</w:t>
      </w:r>
    </w:p>
    <w:p w14:paraId="72F24761" w14:textId="6E86C611" w:rsidR="006569D2" w:rsidRPr="00654F19" w:rsidRDefault="006569D2" w:rsidP="00654F19">
      <w:pPr>
        <w:pStyle w:val="Heading2"/>
      </w:pPr>
      <w:bookmarkStart w:id="8" w:name="_Toc203744899"/>
      <w:r w:rsidRPr="00654F19">
        <w:t>Loan Rates and Terms</w:t>
      </w:r>
      <w:bookmarkEnd w:id="8"/>
    </w:p>
    <w:p w14:paraId="3CB19937" w14:textId="447C0A95" w:rsidR="006569D2" w:rsidRPr="0020272C" w:rsidRDefault="006569D2" w:rsidP="006569D2">
      <w:r w:rsidRPr="0020272C">
        <w:t>Loan rates, credit enhancement costs, maturity dates and other loan and bond financing terms are based on current market conditions and negotiated among underwriters, lenders</w:t>
      </w:r>
      <w:r w:rsidR="00A43710">
        <w:t>,</w:t>
      </w:r>
      <w:r w:rsidRPr="0020272C">
        <w:t xml:space="preserve"> and credit enhancement providers. </w:t>
      </w:r>
      <w:r w:rsidR="00A43710">
        <w:t xml:space="preserve">The interest rate of the bonds may be influenced by these factors. </w:t>
      </w:r>
      <w:r w:rsidRPr="00681AED">
        <w:rPr>
          <w:b/>
          <w:bCs/>
        </w:rPr>
        <w:t xml:space="preserve">Bond </w:t>
      </w:r>
      <w:r w:rsidR="008020B3">
        <w:rPr>
          <w:b/>
          <w:bCs/>
        </w:rPr>
        <w:t>financing</w:t>
      </w:r>
      <w:r w:rsidRPr="00681AED">
        <w:rPr>
          <w:b/>
          <w:bCs/>
        </w:rPr>
        <w:t xml:space="preserve"> </w:t>
      </w:r>
      <w:r w:rsidRPr="00681AED">
        <w:rPr>
          <w:b/>
          <w:bCs/>
          <w:u w:val="single"/>
        </w:rPr>
        <w:t>must not</w:t>
      </w:r>
      <w:r w:rsidRPr="00681AED">
        <w:rPr>
          <w:b/>
          <w:bCs/>
        </w:rPr>
        <w:t xml:space="preserve"> exceed </w:t>
      </w:r>
      <w:r w:rsidR="009D552F">
        <w:rPr>
          <w:b/>
          <w:bCs/>
        </w:rPr>
        <w:t>60</w:t>
      </w:r>
      <w:r w:rsidRPr="00681AED">
        <w:rPr>
          <w:b/>
          <w:bCs/>
        </w:rPr>
        <w:t xml:space="preserve"> percent</w:t>
      </w:r>
      <w:r w:rsidR="009D552F">
        <w:rPr>
          <w:b/>
          <w:bCs/>
        </w:rPr>
        <w:t xml:space="preserve"> (60%)</w:t>
      </w:r>
      <w:r w:rsidRPr="00681AED">
        <w:rPr>
          <w:b/>
          <w:bCs/>
        </w:rPr>
        <w:t xml:space="preserve"> of the project's </w:t>
      </w:r>
      <w:r w:rsidR="004F50EE">
        <w:rPr>
          <w:b/>
          <w:bCs/>
        </w:rPr>
        <w:t>aggregated basis and cost of land. Further limitations are as stated in the QAP.</w:t>
      </w:r>
    </w:p>
    <w:p w14:paraId="7F1EAC09" w14:textId="41D5853A" w:rsidR="006569D2" w:rsidRPr="00654F19" w:rsidRDefault="006569D2" w:rsidP="00654F19">
      <w:pPr>
        <w:pStyle w:val="Heading2"/>
      </w:pPr>
      <w:bookmarkStart w:id="9" w:name="_Toc203744900"/>
      <w:r w:rsidRPr="00654F19">
        <w:t>Bond Rating Requirements</w:t>
      </w:r>
      <w:bookmarkEnd w:id="9"/>
    </w:p>
    <w:p w14:paraId="344100B6" w14:textId="6ABCBFCF" w:rsidR="006569D2" w:rsidRPr="0020272C" w:rsidRDefault="007006EF" w:rsidP="006569D2">
      <w:bookmarkStart w:id="10" w:name="_Hlk202432291"/>
      <w:r>
        <w:t>Housing New Mexico</w:t>
      </w:r>
      <w:r w:rsidR="006569D2" w:rsidRPr="0020272C">
        <w:t xml:space="preserve">'s statute requires ratings of </w:t>
      </w:r>
      <w:r w:rsidR="005F7052">
        <w:t>“</w:t>
      </w:r>
      <w:r w:rsidR="006569D2" w:rsidRPr="0020272C">
        <w:t>A</w:t>
      </w:r>
      <w:r w:rsidR="005F7052">
        <w:t>”</w:t>
      </w:r>
      <w:r w:rsidR="006569D2" w:rsidRPr="0020272C">
        <w:t xml:space="preserve"> or better </w:t>
      </w:r>
      <w:r w:rsidR="000A2D15">
        <w:t>(as rated by S&amp;P, Moody’s, or Fitch)</w:t>
      </w:r>
      <w:r w:rsidR="003D6C1F">
        <w:t>, if the bonds are sold in a public offering.</w:t>
      </w:r>
      <w:r w:rsidR="006569D2" w:rsidRPr="0020272C">
        <w:t xml:space="preserve"> </w:t>
      </w:r>
      <w:r w:rsidR="0079381D">
        <w:t>Requirements for p</w:t>
      </w:r>
      <w:r w:rsidR="006569D2" w:rsidRPr="0020272C">
        <w:t xml:space="preserve">rivate </w:t>
      </w:r>
      <w:r w:rsidR="0079381D" w:rsidRPr="0020272C">
        <w:t>placements</w:t>
      </w:r>
      <w:r w:rsidR="0079381D">
        <w:t xml:space="preserve"> will be determined on a case-by-case basis</w:t>
      </w:r>
      <w:r w:rsidR="006569D2" w:rsidRPr="0020272C">
        <w:t>.</w:t>
      </w:r>
    </w:p>
    <w:p w14:paraId="72703FC6" w14:textId="07058B48" w:rsidR="006569D2" w:rsidRPr="00654F19" w:rsidRDefault="006569D2" w:rsidP="00654F19">
      <w:pPr>
        <w:pStyle w:val="Heading2"/>
      </w:pPr>
      <w:bookmarkStart w:id="11" w:name="_Toc203744901"/>
      <w:bookmarkEnd w:id="10"/>
      <w:r w:rsidRPr="00654F19">
        <w:t>Credit Enhancement Requirements</w:t>
      </w:r>
      <w:bookmarkEnd w:id="11"/>
    </w:p>
    <w:p w14:paraId="3E93ABC4" w14:textId="549C29EE" w:rsidR="006569D2" w:rsidRPr="0020272C" w:rsidRDefault="006569D2" w:rsidP="006569D2">
      <w:r w:rsidRPr="0020272C">
        <w:t xml:space="preserve">Numerous alternative sources of credit enhancement are available to the developer who chooses not to use </w:t>
      </w:r>
      <w:r w:rsidR="007006EF">
        <w:t>Housing New Mexico</w:t>
      </w:r>
      <w:r w:rsidRPr="0020272C">
        <w:t xml:space="preserve">'s 542(c) program, but the method selected must meet </w:t>
      </w:r>
      <w:r w:rsidR="007006EF">
        <w:t>Housing New Mexico</w:t>
      </w:r>
      <w:r w:rsidRPr="0020272C">
        <w:t xml:space="preserve">'s approval. </w:t>
      </w:r>
      <w:r w:rsidR="00534007">
        <w:t xml:space="preserve">Credit enhancement products offered outside of Housing New Mexico </w:t>
      </w:r>
      <w:r w:rsidRPr="0020272C">
        <w:t xml:space="preserve">include FHA mortgage insurance, FNMA securitization, and private bank letters of credit. Where letters of credit are the sole credit enhancement, the provider must be specifically approved by </w:t>
      </w:r>
      <w:r w:rsidR="007006EF">
        <w:t>Housing New Mexico</w:t>
      </w:r>
      <w:r w:rsidRPr="0020272C">
        <w:t xml:space="preserve">, and the minimum term would be five years. This requirement is to ensure that the bonds are protected during the riskiest period of the financing—construction, lease up and stabilization—to minimize refinancing and bond redemption risk. Future credit enhancement substitutions must be approved by </w:t>
      </w:r>
      <w:r w:rsidR="007006EF">
        <w:t>Housing New Mexico</w:t>
      </w:r>
      <w:r w:rsidRPr="0020272C">
        <w:t xml:space="preserve"> in advance of their use.</w:t>
      </w:r>
    </w:p>
    <w:p w14:paraId="7A16EF26" w14:textId="358F52F6" w:rsidR="006569D2" w:rsidRPr="00654F19" w:rsidRDefault="006569D2" w:rsidP="00654F19">
      <w:pPr>
        <w:pStyle w:val="Heading2"/>
      </w:pPr>
      <w:bookmarkStart w:id="12" w:name="_Toc203744902"/>
      <w:r w:rsidRPr="00654F19">
        <w:lastRenderedPageBreak/>
        <w:t>Financing Team</w:t>
      </w:r>
      <w:bookmarkEnd w:id="12"/>
    </w:p>
    <w:p w14:paraId="69905237" w14:textId="0651F26A" w:rsidR="006569D2" w:rsidRPr="0020272C" w:rsidRDefault="007006EF" w:rsidP="006569D2">
      <w:r>
        <w:t>Housing New Mexico</w:t>
      </w:r>
      <w:r w:rsidR="006569D2" w:rsidRPr="0020272C">
        <w:t xml:space="preserve"> </w:t>
      </w:r>
      <w:r w:rsidR="002917FD">
        <w:t>independently selects</w:t>
      </w:r>
      <w:r w:rsidR="001809F4">
        <w:t xml:space="preserve"> a </w:t>
      </w:r>
      <w:r w:rsidR="00186CC2">
        <w:t>B</w:t>
      </w:r>
      <w:r w:rsidR="006569D2" w:rsidRPr="0020272C">
        <w:t xml:space="preserve">ond </w:t>
      </w:r>
      <w:r w:rsidR="00186CC2">
        <w:t>C</w:t>
      </w:r>
      <w:r w:rsidR="006569D2" w:rsidRPr="0020272C">
        <w:t>ounsel</w:t>
      </w:r>
      <w:r w:rsidR="00E65F22">
        <w:t xml:space="preserve"> to advise the issuance of the bonds</w:t>
      </w:r>
      <w:r w:rsidR="006569D2" w:rsidRPr="0020272C">
        <w:t>.</w:t>
      </w:r>
      <w:r w:rsidR="00E65F22">
        <w:t xml:space="preserve"> While </w:t>
      </w:r>
      <w:r>
        <w:t>Housing New Mexico</w:t>
      </w:r>
      <w:r w:rsidR="00E65F22">
        <w:t xml:space="preserve"> does not require the Developer to have a Fiscal Agent/Trustee or Financial Advisor, </w:t>
      </w:r>
      <w:r>
        <w:t>it</w:t>
      </w:r>
      <w:r w:rsidR="00E65F22">
        <w:t xml:space="preserve"> can recommend a known party if one is desired.</w:t>
      </w:r>
      <w:r w:rsidR="006569D2" w:rsidRPr="0020272C">
        <w:t xml:space="preserve"> </w:t>
      </w:r>
      <w:r w:rsidR="00E65F22">
        <w:t>For publicly sold bonds, a</w:t>
      </w:r>
      <w:r w:rsidR="006569D2" w:rsidRPr="0020272C">
        <w:t xml:space="preserve">n </w:t>
      </w:r>
      <w:r w:rsidR="00E65F22">
        <w:t>I</w:t>
      </w:r>
      <w:r w:rsidR="006569D2" w:rsidRPr="0020272C">
        <w:t xml:space="preserve">nvestment </w:t>
      </w:r>
      <w:r w:rsidR="00E65F22">
        <w:t>B</w:t>
      </w:r>
      <w:r w:rsidR="006569D2" w:rsidRPr="0020272C">
        <w:t>ank</w:t>
      </w:r>
      <w:r w:rsidR="00EF08E9">
        <w:t>/</w:t>
      </w:r>
      <w:r w:rsidR="00E65F22">
        <w:t>B</w:t>
      </w:r>
      <w:r w:rsidR="00B004D4">
        <w:t xml:space="preserve">ond </w:t>
      </w:r>
      <w:r w:rsidR="00E65F22">
        <w:t>U</w:t>
      </w:r>
      <w:r w:rsidR="00B004D4">
        <w:t>nderwriter</w:t>
      </w:r>
      <w:r w:rsidR="006569D2" w:rsidRPr="0020272C">
        <w:t xml:space="preserve"> </w:t>
      </w:r>
      <w:r w:rsidR="00E65F22">
        <w:t>must first</w:t>
      </w:r>
      <w:r w:rsidR="00E65F22" w:rsidRPr="0020272C">
        <w:t xml:space="preserve"> </w:t>
      </w:r>
      <w:r w:rsidR="006569D2" w:rsidRPr="0020272C">
        <w:t xml:space="preserve">be proposed by the </w:t>
      </w:r>
      <w:r w:rsidR="00B004D4">
        <w:t>D</w:t>
      </w:r>
      <w:r w:rsidR="001809F4" w:rsidRPr="001809F4">
        <w:t xml:space="preserve">eveloper </w:t>
      </w:r>
      <w:r w:rsidR="006569D2" w:rsidRPr="0020272C">
        <w:t xml:space="preserve">and must meet </w:t>
      </w:r>
      <w:r>
        <w:t>Housing New Mexico</w:t>
      </w:r>
      <w:r w:rsidR="006569D2" w:rsidRPr="0020272C">
        <w:t>'s disclosure and conflict of interest provisions.</w:t>
      </w:r>
    </w:p>
    <w:p w14:paraId="338F5F21" w14:textId="08EB6A4D" w:rsidR="006569D2" w:rsidRPr="00654F19" w:rsidRDefault="006569D2" w:rsidP="00654F19">
      <w:pPr>
        <w:pStyle w:val="Heading2"/>
      </w:pPr>
      <w:bookmarkStart w:id="13" w:name="_Toc203744903"/>
      <w:r w:rsidRPr="00654F19">
        <w:t>Use Restrictions</w:t>
      </w:r>
      <w:r w:rsidR="00D57573" w:rsidRPr="00654F19">
        <w:t xml:space="preserve"> (Federal Set-Aside Requirements)</w:t>
      </w:r>
      <w:bookmarkEnd w:id="13"/>
    </w:p>
    <w:p w14:paraId="6A761EFD" w14:textId="474C39EE" w:rsidR="00147A78" w:rsidRPr="00556793" w:rsidRDefault="00147A78" w:rsidP="00147A78">
      <w:pPr>
        <w:rPr>
          <w:u w:val="single"/>
        </w:rPr>
      </w:pPr>
      <w:r w:rsidRPr="00892DC2">
        <w:t xml:space="preserve">Projects that receive an allocation of 4% LIHTC in conjunction with </w:t>
      </w:r>
      <w:r w:rsidR="003465C8" w:rsidRPr="00892DC2">
        <w:t>the</w:t>
      </w:r>
      <w:r w:rsidRPr="00892DC2">
        <w:t xml:space="preserve"> issuance of tax-exempt bonds must meet the </w:t>
      </w:r>
      <w:r w:rsidR="00534007">
        <w:t>“</w:t>
      </w:r>
      <w:r w:rsidRPr="00892DC2">
        <w:t>set-aside requirements</w:t>
      </w:r>
      <w:r w:rsidR="00534007">
        <w:t>”</w:t>
      </w:r>
      <w:r w:rsidRPr="00892DC2">
        <w:t xml:space="preserve"> of both Section 42 and Section 142 of the I</w:t>
      </w:r>
      <w:r>
        <w:t>nternal Revenue</w:t>
      </w:r>
      <w:r w:rsidRPr="00892DC2">
        <w:t xml:space="preserve"> Code.</w:t>
      </w:r>
      <w:r w:rsidRPr="002D2A46">
        <w:t xml:space="preserve"> Set-aside options include:</w:t>
      </w:r>
    </w:p>
    <w:p w14:paraId="508FBA4F" w14:textId="77777777" w:rsidR="00147A78" w:rsidRPr="00556793" w:rsidRDefault="00147A78" w:rsidP="002D2A46">
      <w:pPr>
        <w:numPr>
          <w:ilvl w:val="0"/>
          <w:numId w:val="15"/>
        </w:numPr>
        <w:tabs>
          <w:tab w:val="clear" w:pos="720"/>
        </w:tabs>
        <w:spacing w:line="259" w:lineRule="auto"/>
        <w:ind w:hanging="720"/>
      </w:pPr>
      <w:r w:rsidRPr="00556793">
        <w:t>20% of units must be reserved for tenants earning no more than 50% of the area median income (AMI), adjusted for family size.</w:t>
      </w:r>
    </w:p>
    <w:p w14:paraId="34EB3FD8" w14:textId="77777777" w:rsidR="00147A78" w:rsidRDefault="00147A78" w:rsidP="002D2A46">
      <w:pPr>
        <w:numPr>
          <w:ilvl w:val="0"/>
          <w:numId w:val="15"/>
        </w:numPr>
        <w:tabs>
          <w:tab w:val="clear" w:pos="720"/>
        </w:tabs>
        <w:spacing w:line="259" w:lineRule="auto"/>
        <w:ind w:hanging="720"/>
      </w:pPr>
      <w:r w:rsidRPr="00556793">
        <w:t>40% of units must be reserved for tenants earning no more than 60% of AMI, adjusted for family size.</w:t>
      </w:r>
    </w:p>
    <w:p w14:paraId="3FFCFE76" w14:textId="69990DEE" w:rsidR="00147A78" w:rsidRPr="00556793" w:rsidRDefault="00147A78" w:rsidP="002D2A46">
      <w:pPr>
        <w:numPr>
          <w:ilvl w:val="0"/>
          <w:numId w:val="15"/>
        </w:numPr>
        <w:tabs>
          <w:tab w:val="clear" w:pos="720"/>
        </w:tabs>
        <w:spacing w:line="259" w:lineRule="auto"/>
        <w:ind w:hanging="720"/>
      </w:pPr>
      <w:r w:rsidRPr="001E6658">
        <w:t>Average Income Test (AIT), which requires all units to be designated at various income limits (20%, 30%, 40%, 50%, 60%, 70%, or 80% of AMI)</w:t>
      </w:r>
      <w:r w:rsidR="00534007">
        <w:t>,</w:t>
      </w:r>
      <w:r w:rsidRPr="001E6658">
        <w:t xml:space="preserve"> such that the average of all units does not exceed 60% of AMI.</w:t>
      </w:r>
    </w:p>
    <w:p w14:paraId="67BAC929" w14:textId="77777777" w:rsidR="00147A78" w:rsidRPr="00556793" w:rsidRDefault="00147A78" w:rsidP="002D2A46">
      <w:pPr>
        <w:spacing w:line="259" w:lineRule="auto"/>
      </w:pPr>
      <w:r w:rsidRPr="00556793">
        <w:t>Rent restrictions:</w:t>
      </w:r>
    </w:p>
    <w:p w14:paraId="03C41100" w14:textId="77777777" w:rsidR="00147A78" w:rsidRPr="00556793" w:rsidRDefault="00147A78" w:rsidP="002D2A46">
      <w:pPr>
        <w:numPr>
          <w:ilvl w:val="0"/>
          <w:numId w:val="15"/>
        </w:numPr>
        <w:tabs>
          <w:tab w:val="clear" w:pos="720"/>
        </w:tabs>
        <w:spacing w:line="259" w:lineRule="auto"/>
        <w:ind w:hanging="720"/>
      </w:pPr>
      <w:r w:rsidRPr="00556793">
        <w:t>While bond financing itself does not impose rent limits, tax credits and most other subsidies typically limit rents to 30% of the applicable income limit.</w:t>
      </w:r>
    </w:p>
    <w:p w14:paraId="13CCDE15" w14:textId="77777777" w:rsidR="00147A78" w:rsidRPr="00556793" w:rsidRDefault="00147A78" w:rsidP="002D2A46">
      <w:pPr>
        <w:spacing w:line="259" w:lineRule="auto"/>
      </w:pPr>
      <w:r w:rsidRPr="00556793">
        <w:t>Additional considerations:</w:t>
      </w:r>
    </w:p>
    <w:p w14:paraId="4316A003" w14:textId="77777777" w:rsidR="001A3799" w:rsidRDefault="00147A78" w:rsidP="002D2A46">
      <w:pPr>
        <w:numPr>
          <w:ilvl w:val="0"/>
          <w:numId w:val="15"/>
        </w:numPr>
        <w:tabs>
          <w:tab w:val="clear" w:pos="720"/>
        </w:tabs>
        <w:spacing w:line="259" w:lineRule="auto"/>
        <w:ind w:hanging="720"/>
      </w:pPr>
      <w:r>
        <w:t>All projects must meet feasibility under the Housing NM’s current “Universal Multifamily Underwriting Supplement”.</w:t>
      </w:r>
    </w:p>
    <w:p w14:paraId="05AAB70C" w14:textId="0D7E5885" w:rsidR="00147A78" w:rsidRDefault="00147A78" w:rsidP="002D2A46">
      <w:pPr>
        <w:numPr>
          <w:ilvl w:val="0"/>
          <w:numId w:val="15"/>
        </w:numPr>
        <w:tabs>
          <w:tab w:val="clear" w:pos="720"/>
        </w:tabs>
        <w:spacing w:line="259" w:lineRule="auto"/>
        <w:ind w:hanging="720"/>
      </w:pPr>
      <w:r>
        <w:t>Mandatory Design Standards for Multifamily Housing must be met.</w:t>
      </w:r>
    </w:p>
    <w:p w14:paraId="0A867E08" w14:textId="365A4C88" w:rsidR="006569D2" w:rsidRPr="00654F19" w:rsidRDefault="006569D2" w:rsidP="00654F19">
      <w:pPr>
        <w:pStyle w:val="Heading2"/>
      </w:pPr>
      <w:bookmarkStart w:id="14" w:name="_Toc203744904"/>
      <w:r w:rsidRPr="00654F19">
        <w:t>Regulatory Agreements</w:t>
      </w:r>
      <w:bookmarkEnd w:id="14"/>
    </w:p>
    <w:p w14:paraId="71454E09" w14:textId="56E07C58" w:rsidR="006569D2" w:rsidRPr="0020272C" w:rsidRDefault="006569D2" w:rsidP="006569D2">
      <w:r w:rsidRPr="0020272C">
        <w:t xml:space="preserve">The developer will enter into regulatory agreements which establish low-income set-asides, reserve requirements, monitoring and compliance activities and fees. A 60-day cure period will be provided for instances of noncompliance with the terms of the regulatory agreement. Relocation plans are required where displacement is likely, and tenant income surveys may be required </w:t>
      </w:r>
      <w:r w:rsidR="00B2360C">
        <w:t>during the application process</w:t>
      </w:r>
      <w:r w:rsidRPr="0020272C">
        <w:t>.</w:t>
      </w:r>
    </w:p>
    <w:p w14:paraId="29EB5CA3" w14:textId="77777777" w:rsidR="00A15F31" w:rsidRPr="00654F19" w:rsidRDefault="00A15F31" w:rsidP="00654F19">
      <w:pPr>
        <w:pStyle w:val="Heading2"/>
      </w:pPr>
      <w:bookmarkStart w:id="15" w:name="_Fees_and_Expenses"/>
      <w:bookmarkStart w:id="16" w:name="_Toc203744905"/>
      <w:bookmarkEnd w:id="15"/>
      <w:r w:rsidRPr="00654F19">
        <w:lastRenderedPageBreak/>
        <w:t>Additional Financing and Subsidies</w:t>
      </w:r>
      <w:bookmarkEnd w:id="16"/>
    </w:p>
    <w:p w14:paraId="454D9768" w14:textId="699387B1" w:rsidR="00A15F31" w:rsidRDefault="00A15F31" w:rsidP="00A15F31">
      <w:r w:rsidRPr="0020272C">
        <w:t>Additional financing may be derived through the sale of taxable bonds along with the tax</w:t>
      </w:r>
      <w:r>
        <w:t>-</w:t>
      </w:r>
      <w:r w:rsidRPr="0020272C">
        <w:t xml:space="preserve">exempt bonds. Projects which meet the criteria of other </w:t>
      </w:r>
      <w:r w:rsidR="007006EF">
        <w:t>Housing New Mexico</w:t>
      </w:r>
      <w:r w:rsidRPr="0020272C">
        <w:t xml:space="preserve"> multi</w:t>
      </w:r>
      <w:r w:rsidR="00C33335">
        <w:t>-</w:t>
      </w:r>
      <w:r w:rsidRPr="0020272C">
        <w:t xml:space="preserve">family programs may be eligible for additional subsidies, including the </w:t>
      </w:r>
      <w:r w:rsidR="00722BC0">
        <w:t>New Mexico Housing Trust Fund (NMHTF), National Housing Trust Fund (</w:t>
      </w:r>
      <w:r w:rsidR="00444D0A">
        <w:t xml:space="preserve">NHTF), </w:t>
      </w:r>
      <w:r w:rsidRPr="0020272C">
        <w:t xml:space="preserve"> HOME Rental Assistance,</w:t>
      </w:r>
      <w:r w:rsidR="00CF4D87">
        <w:t xml:space="preserve"> and </w:t>
      </w:r>
      <w:r w:rsidR="00EE5E06">
        <w:t xml:space="preserve">other available financing sources provided by </w:t>
      </w:r>
      <w:r w:rsidR="007006EF">
        <w:t>Housing New Mexico</w:t>
      </w:r>
      <w:r w:rsidRPr="0020272C">
        <w:t xml:space="preserve">. Further material on each program is available </w:t>
      </w:r>
      <w:r w:rsidR="005834AE">
        <w:t xml:space="preserve">at </w:t>
      </w:r>
      <w:hyperlink r:id="rId9" w:history="1">
        <w:r w:rsidR="008A766B" w:rsidRPr="00F62E77">
          <w:rPr>
            <w:rStyle w:val="Hyperlink"/>
          </w:rPr>
          <w:t>https://housingnm.org/developers</w:t>
        </w:r>
      </w:hyperlink>
      <w:r w:rsidR="008A766B">
        <w:t>.</w:t>
      </w:r>
    </w:p>
    <w:p w14:paraId="0E47ADFC" w14:textId="77777777" w:rsidR="00A15F31" w:rsidRDefault="00A15F31">
      <w:pPr>
        <w:rPr>
          <w:rFonts w:eastAsiaTheme="majorEastAsia" w:cstheme="majorBidi"/>
          <w:sz w:val="40"/>
          <w:szCs w:val="40"/>
        </w:rPr>
      </w:pPr>
      <w:r>
        <w:br w:type="page"/>
      </w:r>
    </w:p>
    <w:p w14:paraId="5D1B403C" w14:textId="62B32963" w:rsidR="006569D2" w:rsidRPr="00681AED" w:rsidRDefault="006569D2" w:rsidP="006569D2">
      <w:pPr>
        <w:pStyle w:val="Heading1"/>
        <w:rPr>
          <w:rFonts w:ascii="Lato" w:hAnsi="Lato"/>
        </w:rPr>
      </w:pPr>
      <w:bookmarkStart w:id="17" w:name="_Toc203744906"/>
      <w:r w:rsidRPr="00681AED">
        <w:rPr>
          <w:rFonts w:ascii="Lato" w:hAnsi="Lato"/>
        </w:rPr>
        <w:lastRenderedPageBreak/>
        <w:t>Fees and Expenses</w:t>
      </w:r>
      <w:bookmarkEnd w:id="17"/>
    </w:p>
    <w:p w14:paraId="1644FCE3" w14:textId="77777777" w:rsidR="000E0C84" w:rsidRPr="000E0C84" w:rsidRDefault="000E0C84" w:rsidP="000E0C84">
      <w:pPr>
        <w:spacing w:before="240"/>
      </w:pPr>
      <w:r w:rsidRPr="002D2A46">
        <w:t>The Developer of the Project will be responsible for payment of all direct costs, fees, and deposits.</w:t>
      </w:r>
    </w:p>
    <w:p w14:paraId="59FB7053" w14:textId="640498CB" w:rsidR="00303BEF" w:rsidRPr="00965B88" w:rsidRDefault="00303BEF" w:rsidP="00303BEF">
      <w:pPr>
        <w:rPr>
          <w:b/>
          <w:bCs/>
        </w:rPr>
      </w:pPr>
      <w:r w:rsidRPr="00965B88">
        <w:rPr>
          <w:b/>
          <w:bCs/>
        </w:rPr>
        <w:t xml:space="preserve">Required </w:t>
      </w:r>
      <w:r w:rsidR="00C11094">
        <w:rPr>
          <w:b/>
          <w:bCs/>
        </w:rPr>
        <w:t xml:space="preserve">Bond </w:t>
      </w:r>
      <w:r w:rsidRPr="00965B88">
        <w:rPr>
          <w:b/>
          <w:bCs/>
        </w:rPr>
        <w:t>Fees</w:t>
      </w:r>
      <w:r w:rsidR="0098547D">
        <w:rPr>
          <w:b/>
          <w:bCs/>
        </w:rPr>
        <w:t xml:space="preserve"> to </w:t>
      </w:r>
      <w:r w:rsidR="007006EF">
        <w:rPr>
          <w:b/>
          <w:bCs/>
        </w:rPr>
        <w:t>Housing New Mexico</w:t>
      </w:r>
    </w:p>
    <w:tbl>
      <w:tblPr>
        <w:tblStyle w:val="TableGrid"/>
        <w:tblW w:w="5000" w:type="pct"/>
        <w:tblLook w:val="04A0" w:firstRow="1" w:lastRow="0" w:firstColumn="1" w:lastColumn="0" w:noHBand="0" w:noVBand="1"/>
      </w:tblPr>
      <w:tblGrid>
        <w:gridCol w:w="4673"/>
        <w:gridCol w:w="1980"/>
        <w:gridCol w:w="1442"/>
        <w:gridCol w:w="1255"/>
      </w:tblGrid>
      <w:tr w:rsidR="00303BEF" w14:paraId="10D1DAA1" w14:textId="77777777" w:rsidTr="002D2A46">
        <w:trPr>
          <w:trHeight w:val="576"/>
        </w:trPr>
        <w:tc>
          <w:tcPr>
            <w:tcW w:w="2499" w:type="pct"/>
            <w:shd w:val="clear" w:color="auto" w:fill="auto"/>
            <w:vAlign w:val="center"/>
          </w:tcPr>
          <w:p w14:paraId="1E111605" w14:textId="77777777" w:rsidR="00303BEF" w:rsidRPr="00965B88" w:rsidRDefault="00303BEF" w:rsidP="00965B88">
            <w:pPr>
              <w:rPr>
                <w:sz w:val="28"/>
                <w:szCs w:val="28"/>
              </w:rPr>
            </w:pPr>
            <w:r w:rsidRPr="00965B88">
              <w:rPr>
                <w:sz w:val="28"/>
                <w:szCs w:val="28"/>
              </w:rPr>
              <w:t>Fee Description</w:t>
            </w:r>
          </w:p>
        </w:tc>
        <w:tc>
          <w:tcPr>
            <w:tcW w:w="2501" w:type="pct"/>
            <w:gridSpan w:val="3"/>
            <w:shd w:val="clear" w:color="auto" w:fill="auto"/>
            <w:vAlign w:val="center"/>
          </w:tcPr>
          <w:p w14:paraId="1086720B" w14:textId="77777777" w:rsidR="00303BEF" w:rsidRPr="00965B88" w:rsidRDefault="00303BEF" w:rsidP="00965B88">
            <w:pPr>
              <w:rPr>
                <w:sz w:val="28"/>
                <w:szCs w:val="28"/>
              </w:rPr>
            </w:pPr>
            <w:r w:rsidRPr="00965B88">
              <w:rPr>
                <w:sz w:val="28"/>
                <w:szCs w:val="28"/>
              </w:rPr>
              <w:t>Rate</w:t>
            </w:r>
          </w:p>
        </w:tc>
      </w:tr>
      <w:tr w:rsidR="00303BEF" w14:paraId="44FE8881" w14:textId="77777777" w:rsidTr="002D2A46">
        <w:trPr>
          <w:trHeight w:val="720"/>
        </w:trPr>
        <w:tc>
          <w:tcPr>
            <w:tcW w:w="2499" w:type="pct"/>
            <w:shd w:val="clear" w:color="auto" w:fill="auto"/>
            <w:vAlign w:val="center"/>
          </w:tcPr>
          <w:p w14:paraId="5DBD02AA" w14:textId="361395BD" w:rsidR="00303BEF" w:rsidRPr="002D2A46" w:rsidRDefault="00303BEF" w:rsidP="00965B88">
            <w:pPr>
              <w:rPr>
                <w:vertAlign w:val="superscript"/>
              </w:rPr>
            </w:pPr>
            <w:r>
              <w:t>Application Fee</w:t>
            </w:r>
            <w:r w:rsidR="00C66241">
              <w:t>**</w:t>
            </w:r>
          </w:p>
          <w:p w14:paraId="371C2C18" w14:textId="77777777" w:rsidR="00303BEF" w:rsidRDefault="00303BEF" w:rsidP="00965B88">
            <w:pPr>
              <w:ind w:left="720"/>
            </w:pPr>
            <w:r>
              <w:t>(due upon submission)</w:t>
            </w:r>
          </w:p>
        </w:tc>
        <w:tc>
          <w:tcPr>
            <w:tcW w:w="2501" w:type="pct"/>
            <w:gridSpan w:val="3"/>
            <w:shd w:val="clear" w:color="auto" w:fill="auto"/>
            <w:vAlign w:val="center"/>
          </w:tcPr>
          <w:p w14:paraId="4ED4639E" w14:textId="77777777" w:rsidR="00303BEF" w:rsidRDefault="00303BEF" w:rsidP="00965B88">
            <w:r>
              <w:t>$10 per unit</w:t>
            </w:r>
          </w:p>
        </w:tc>
      </w:tr>
      <w:tr w:rsidR="00303BEF" w14:paraId="031CEACC" w14:textId="77777777" w:rsidTr="002D2A46">
        <w:trPr>
          <w:trHeight w:val="720"/>
        </w:trPr>
        <w:tc>
          <w:tcPr>
            <w:tcW w:w="2499" w:type="pct"/>
            <w:shd w:val="clear" w:color="auto" w:fill="auto"/>
            <w:vAlign w:val="center"/>
          </w:tcPr>
          <w:p w14:paraId="73C78A1D" w14:textId="05117612" w:rsidR="00303BEF" w:rsidRPr="002D2A46" w:rsidRDefault="00303BEF" w:rsidP="00965B88">
            <w:pPr>
              <w:rPr>
                <w:vertAlign w:val="superscript"/>
              </w:rPr>
            </w:pPr>
            <w:r>
              <w:t>Commitment Fee</w:t>
            </w:r>
            <w:r w:rsidR="00C66241">
              <w:t>**</w:t>
            </w:r>
          </w:p>
          <w:p w14:paraId="490A5ECA" w14:textId="77777777" w:rsidR="00303BEF" w:rsidRDefault="00303BEF" w:rsidP="00965B88">
            <w:pPr>
              <w:ind w:left="720"/>
            </w:pPr>
            <w:r>
              <w:t>(due prior to prep of bond docs)</w:t>
            </w:r>
          </w:p>
        </w:tc>
        <w:tc>
          <w:tcPr>
            <w:tcW w:w="2501" w:type="pct"/>
            <w:gridSpan w:val="3"/>
            <w:shd w:val="clear" w:color="auto" w:fill="auto"/>
            <w:vAlign w:val="center"/>
          </w:tcPr>
          <w:p w14:paraId="2DE346B9" w14:textId="77777777" w:rsidR="00303BEF" w:rsidRDefault="00303BEF" w:rsidP="00965B88">
            <w:r>
              <w:t>0.50% of bond issue amount</w:t>
            </w:r>
          </w:p>
        </w:tc>
      </w:tr>
      <w:tr w:rsidR="004B4AD8" w14:paraId="703ADD8E" w14:textId="77777777" w:rsidTr="002D2A46">
        <w:trPr>
          <w:trHeight w:val="1008"/>
        </w:trPr>
        <w:tc>
          <w:tcPr>
            <w:tcW w:w="2499" w:type="pct"/>
            <w:shd w:val="clear" w:color="auto" w:fill="auto"/>
            <w:vAlign w:val="center"/>
          </w:tcPr>
          <w:p w14:paraId="388252D5" w14:textId="6AC13E75" w:rsidR="004B4AD8" w:rsidRPr="002D2A46" w:rsidRDefault="004B4AD8" w:rsidP="00965B88">
            <w:pPr>
              <w:rPr>
                <w:vertAlign w:val="superscript"/>
              </w:rPr>
            </w:pPr>
            <w:r>
              <w:t>Direct Cost Deposit</w:t>
            </w:r>
            <w:r w:rsidR="003C25FB">
              <w:rPr>
                <w:rStyle w:val="FootnoteReference"/>
              </w:rPr>
              <w:footnoteReference w:id="6"/>
            </w:r>
          </w:p>
          <w:p w14:paraId="082DE184" w14:textId="72C6DD61" w:rsidR="004B4AD8" w:rsidRDefault="004B4AD8" w:rsidP="002D2A46">
            <w:pPr>
              <w:ind w:left="720"/>
            </w:pPr>
            <w:r>
              <w:t xml:space="preserve">(due </w:t>
            </w:r>
            <w:r w:rsidR="00F35AAB">
              <w:t>upon submission of application)</w:t>
            </w:r>
          </w:p>
        </w:tc>
        <w:tc>
          <w:tcPr>
            <w:tcW w:w="2501" w:type="pct"/>
            <w:gridSpan w:val="3"/>
            <w:shd w:val="clear" w:color="auto" w:fill="auto"/>
            <w:vAlign w:val="center"/>
          </w:tcPr>
          <w:p w14:paraId="63312A91" w14:textId="2DCA3E11" w:rsidR="004B4AD8" w:rsidRDefault="00F35AAB" w:rsidP="00965B88">
            <w:r>
              <w:t>20% of Financing Team’s fees</w:t>
            </w:r>
          </w:p>
        </w:tc>
      </w:tr>
      <w:tr w:rsidR="00303BEF" w14:paraId="00263927" w14:textId="77777777" w:rsidTr="002D2A46">
        <w:trPr>
          <w:trHeight w:val="432"/>
        </w:trPr>
        <w:tc>
          <w:tcPr>
            <w:tcW w:w="2499" w:type="pct"/>
            <w:vMerge w:val="restart"/>
            <w:shd w:val="clear" w:color="auto" w:fill="auto"/>
            <w:vAlign w:val="center"/>
          </w:tcPr>
          <w:p w14:paraId="07684172" w14:textId="589F68E2" w:rsidR="00303BEF" w:rsidRDefault="00303BEF" w:rsidP="00965B88">
            <w:r>
              <w:t>New Mexico State Board of Finance Application Fee</w:t>
            </w:r>
            <w:r w:rsidR="00C66241">
              <w:t>**</w:t>
            </w:r>
          </w:p>
          <w:p w14:paraId="45A361C5" w14:textId="77777777" w:rsidR="00303BEF" w:rsidRDefault="00303BEF" w:rsidP="00965B88">
            <w:pPr>
              <w:ind w:left="720"/>
            </w:pPr>
            <w:r>
              <w:t>(based on bond issue size, due upon submission of application)</w:t>
            </w:r>
          </w:p>
        </w:tc>
        <w:tc>
          <w:tcPr>
            <w:tcW w:w="1830" w:type="pct"/>
            <w:gridSpan w:val="2"/>
            <w:shd w:val="clear" w:color="auto" w:fill="auto"/>
            <w:vAlign w:val="center"/>
          </w:tcPr>
          <w:p w14:paraId="27EAAB9C" w14:textId="77777777" w:rsidR="00303BEF" w:rsidRPr="00965B88" w:rsidRDefault="00303BEF" w:rsidP="00965B88">
            <w:pPr>
              <w:rPr>
                <w:i/>
                <w:iCs/>
              </w:rPr>
            </w:pPr>
            <w:r w:rsidRPr="00965B88">
              <w:rPr>
                <w:i/>
                <w:iCs/>
              </w:rPr>
              <w:t>Less than $15M</w:t>
            </w:r>
          </w:p>
        </w:tc>
        <w:tc>
          <w:tcPr>
            <w:tcW w:w="671" w:type="pct"/>
            <w:shd w:val="clear" w:color="auto" w:fill="auto"/>
            <w:vAlign w:val="center"/>
          </w:tcPr>
          <w:p w14:paraId="70C63D2F" w14:textId="77777777" w:rsidR="00303BEF" w:rsidRDefault="00303BEF" w:rsidP="00965B88">
            <w:r>
              <w:t>$750</w:t>
            </w:r>
          </w:p>
        </w:tc>
      </w:tr>
      <w:tr w:rsidR="00303BEF" w14:paraId="23EC23D2" w14:textId="77777777" w:rsidTr="002D2A46">
        <w:trPr>
          <w:trHeight w:val="432"/>
        </w:trPr>
        <w:tc>
          <w:tcPr>
            <w:tcW w:w="2499" w:type="pct"/>
            <w:vMerge/>
            <w:shd w:val="clear" w:color="auto" w:fill="auto"/>
            <w:vAlign w:val="center"/>
          </w:tcPr>
          <w:p w14:paraId="556B310F" w14:textId="77777777" w:rsidR="00303BEF" w:rsidRDefault="00303BEF" w:rsidP="00965B88"/>
        </w:tc>
        <w:tc>
          <w:tcPr>
            <w:tcW w:w="1830" w:type="pct"/>
            <w:gridSpan w:val="2"/>
            <w:shd w:val="clear" w:color="auto" w:fill="auto"/>
            <w:vAlign w:val="center"/>
          </w:tcPr>
          <w:p w14:paraId="0C45E685" w14:textId="77777777" w:rsidR="00303BEF" w:rsidRPr="00965B88" w:rsidRDefault="00303BEF" w:rsidP="00965B88">
            <w:pPr>
              <w:rPr>
                <w:i/>
                <w:iCs/>
              </w:rPr>
            </w:pPr>
            <w:r w:rsidRPr="00965B88">
              <w:rPr>
                <w:i/>
                <w:iCs/>
              </w:rPr>
              <w:t>Between $15M and $30M</w:t>
            </w:r>
          </w:p>
        </w:tc>
        <w:tc>
          <w:tcPr>
            <w:tcW w:w="671" w:type="pct"/>
            <w:shd w:val="clear" w:color="auto" w:fill="auto"/>
            <w:vAlign w:val="center"/>
          </w:tcPr>
          <w:p w14:paraId="70A9248D" w14:textId="77777777" w:rsidR="00303BEF" w:rsidRDefault="00303BEF" w:rsidP="00965B88">
            <w:r>
              <w:t>$1,500</w:t>
            </w:r>
          </w:p>
        </w:tc>
      </w:tr>
      <w:tr w:rsidR="00303BEF" w14:paraId="042513FA" w14:textId="77777777" w:rsidTr="002D2A46">
        <w:trPr>
          <w:trHeight w:val="432"/>
        </w:trPr>
        <w:tc>
          <w:tcPr>
            <w:tcW w:w="2499" w:type="pct"/>
            <w:vMerge/>
            <w:shd w:val="clear" w:color="auto" w:fill="auto"/>
            <w:vAlign w:val="center"/>
          </w:tcPr>
          <w:p w14:paraId="3526E6A9" w14:textId="77777777" w:rsidR="00303BEF" w:rsidRPr="00637426" w:rsidRDefault="00303BEF" w:rsidP="00965B88"/>
        </w:tc>
        <w:tc>
          <w:tcPr>
            <w:tcW w:w="1830" w:type="pct"/>
            <w:gridSpan w:val="2"/>
            <w:shd w:val="clear" w:color="auto" w:fill="auto"/>
            <w:vAlign w:val="center"/>
          </w:tcPr>
          <w:p w14:paraId="306BC427" w14:textId="77777777" w:rsidR="00303BEF" w:rsidRPr="00965B88" w:rsidRDefault="00303BEF" w:rsidP="00965B88">
            <w:pPr>
              <w:rPr>
                <w:i/>
                <w:iCs/>
              </w:rPr>
            </w:pPr>
            <w:r w:rsidRPr="00965B88">
              <w:rPr>
                <w:i/>
                <w:iCs/>
              </w:rPr>
              <w:t>Greater than $30M</w:t>
            </w:r>
          </w:p>
        </w:tc>
        <w:tc>
          <w:tcPr>
            <w:tcW w:w="671" w:type="pct"/>
            <w:shd w:val="clear" w:color="auto" w:fill="auto"/>
            <w:vAlign w:val="center"/>
          </w:tcPr>
          <w:p w14:paraId="3150CF15" w14:textId="77777777" w:rsidR="00303BEF" w:rsidRDefault="00303BEF" w:rsidP="00965B88">
            <w:r>
              <w:t>$3,000</w:t>
            </w:r>
          </w:p>
        </w:tc>
      </w:tr>
      <w:tr w:rsidR="00303BEF" w14:paraId="2FD76F2E" w14:textId="77777777" w:rsidTr="002D2A46">
        <w:trPr>
          <w:trHeight w:val="432"/>
        </w:trPr>
        <w:tc>
          <w:tcPr>
            <w:tcW w:w="2499" w:type="pct"/>
            <w:vMerge w:val="restart"/>
            <w:shd w:val="clear" w:color="auto" w:fill="auto"/>
            <w:vAlign w:val="center"/>
          </w:tcPr>
          <w:p w14:paraId="1D7C0BE7" w14:textId="437ED451" w:rsidR="00303BEF" w:rsidRPr="002D2A46" w:rsidRDefault="007006EF" w:rsidP="00965B88">
            <w:pPr>
              <w:rPr>
                <w:vertAlign w:val="superscript"/>
              </w:rPr>
            </w:pPr>
            <w:r>
              <w:t>Housing New Mexico</w:t>
            </w:r>
            <w:r w:rsidR="00303BEF">
              <w:t xml:space="preserve"> Administrative Fee</w:t>
            </w:r>
            <w:r w:rsidR="003C25FB">
              <w:rPr>
                <w:rStyle w:val="FootnoteReference"/>
              </w:rPr>
              <w:footnoteReference w:id="7"/>
            </w:r>
          </w:p>
          <w:p w14:paraId="3AE16B98" w14:textId="670477F5" w:rsidR="00303BEF" w:rsidRDefault="00303BEF" w:rsidP="00965B88">
            <w:pPr>
              <w:ind w:left="720"/>
            </w:pPr>
            <w:r>
              <w:t>(</w:t>
            </w:r>
            <w:r w:rsidR="00D405B1">
              <w:t>a</w:t>
            </w:r>
            <w:r>
              <w:t>nnual – paid in advance)</w:t>
            </w:r>
          </w:p>
        </w:tc>
        <w:tc>
          <w:tcPr>
            <w:tcW w:w="1059" w:type="pct"/>
            <w:shd w:val="clear" w:color="auto" w:fill="auto"/>
            <w:vAlign w:val="center"/>
          </w:tcPr>
          <w:p w14:paraId="74E9756A" w14:textId="77777777" w:rsidR="00303BEF" w:rsidRPr="00965B88" w:rsidRDefault="00303BEF" w:rsidP="00965B88">
            <w:pPr>
              <w:rPr>
                <w:i/>
                <w:iCs/>
              </w:rPr>
            </w:pPr>
            <w:r w:rsidRPr="00965B88">
              <w:rPr>
                <w:i/>
                <w:iCs/>
              </w:rPr>
              <w:t>Long-term</w:t>
            </w:r>
          </w:p>
        </w:tc>
        <w:tc>
          <w:tcPr>
            <w:tcW w:w="1442" w:type="pct"/>
            <w:gridSpan w:val="2"/>
            <w:shd w:val="clear" w:color="auto" w:fill="auto"/>
            <w:vAlign w:val="center"/>
          </w:tcPr>
          <w:p w14:paraId="3B4A637C" w14:textId="77777777" w:rsidR="00303BEF" w:rsidRDefault="00303BEF" w:rsidP="00965B88">
            <w:r>
              <w:t>0.15% of bonds</w:t>
            </w:r>
          </w:p>
        </w:tc>
      </w:tr>
      <w:tr w:rsidR="00303BEF" w14:paraId="04F803A7" w14:textId="77777777" w:rsidTr="002D2A46">
        <w:trPr>
          <w:trHeight w:val="432"/>
        </w:trPr>
        <w:tc>
          <w:tcPr>
            <w:tcW w:w="2499" w:type="pct"/>
            <w:vMerge/>
            <w:shd w:val="clear" w:color="auto" w:fill="auto"/>
            <w:vAlign w:val="center"/>
          </w:tcPr>
          <w:p w14:paraId="76D0F719" w14:textId="77777777" w:rsidR="00303BEF" w:rsidRDefault="00303BEF" w:rsidP="00965B88"/>
        </w:tc>
        <w:tc>
          <w:tcPr>
            <w:tcW w:w="1059" w:type="pct"/>
            <w:shd w:val="clear" w:color="auto" w:fill="auto"/>
            <w:vAlign w:val="center"/>
          </w:tcPr>
          <w:p w14:paraId="49A46D8C" w14:textId="77777777" w:rsidR="00303BEF" w:rsidRPr="00965B88" w:rsidRDefault="00303BEF" w:rsidP="00965B88">
            <w:pPr>
              <w:rPr>
                <w:i/>
                <w:iCs/>
              </w:rPr>
            </w:pPr>
            <w:r w:rsidRPr="00965B88">
              <w:rPr>
                <w:i/>
                <w:iCs/>
              </w:rPr>
              <w:t>Short-term</w:t>
            </w:r>
          </w:p>
        </w:tc>
        <w:tc>
          <w:tcPr>
            <w:tcW w:w="1442" w:type="pct"/>
            <w:gridSpan w:val="2"/>
            <w:shd w:val="clear" w:color="auto" w:fill="auto"/>
            <w:vAlign w:val="center"/>
          </w:tcPr>
          <w:p w14:paraId="440B6A40" w14:textId="2FEDBD44" w:rsidR="00303BEF" w:rsidRDefault="0059529C" w:rsidP="00965B88">
            <w:r>
              <w:t>0.</w:t>
            </w:r>
            <w:r w:rsidR="00303BEF">
              <w:t>20% of bonds</w:t>
            </w:r>
          </w:p>
        </w:tc>
      </w:tr>
    </w:tbl>
    <w:p w14:paraId="59753760" w14:textId="77777777" w:rsidR="00C66241" w:rsidRDefault="00C66241" w:rsidP="00303BEF">
      <w:pPr>
        <w:spacing w:before="240"/>
        <w:rPr>
          <w:b/>
          <w:bCs/>
        </w:rPr>
      </w:pPr>
    </w:p>
    <w:p w14:paraId="4E0B5F7D" w14:textId="77777777" w:rsidR="00C66241" w:rsidRDefault="00C66241">
      <w:pPr>
        <w:rPr>
          <w:b/>
          <w:bCs/>
        </w:rPr>
      </w:pPr>
      <w:r>
        <w:rPr>
          <w:b/>
          <w:bCs/>
        </w:rPr>
        <w:br w:type="page"/>
      </w:r>
    </w:p>
    <w:p w14:paraId="39B0CE72" w14:textId="137EFB5A" w:rsidR="00303BEF" w:rsidRPr="00965B88" w:rsidRDefault="00303BEF" w:rsidP="00303BEF">
      <w:pPr>
        <w:spacing w:before="240"/>
        <w:rPr>
          <w:b/>
          <w:bCs/>
        </w:rPr>
      </w:pPr>
      <w:r w:rsidRPr="00965B88">
        <w:rPr>
          <w:b/>
          <w:bCs/>
        </w:rPr>
        <w:lastRenderedPageBreak/>
        <w:t>Other Fees</w:t>
      </w:r>
      <w:r w:rsidR="0098547D">
        <w:rPr>
          <w:b/>
          <w:bCs/>
        </w:rPr>
        <w:t xml:space="preserve"> (if applicable)</w:t>
      </w:r>
    </w:p>
    <w:tbl>
      <w:tblPr>
        <w:tblStyle w:val="TableGrid"/>
        <w:tblW w:w="0" w:type="auto"/>
        <w:tblLook w:val="04A0" w:firstRow="1" w:lastRow="0" w:firstColumn="1" w:lastColumn="0" w:noHBand="0" w:noVBand="1"/>
      </w:tblPr>
      <w:tblGrid>
        <w:gridCol w:w="4675"/>
        <w:gridCol w:w="2520"/>
        <w:gridCol w:w="2155"/>
      </w:tblGrid>
      <w:tr w:rsidR="00303BEF" w14:paraId="40C9F206" w14:textId="77777777" w:rsidTr="00965B88">
        <w:trPr>
          <w:trHeight w:val="576"/>
        </w:trPr>
        <w:tc>
          <w:tcPr>
            <w:tcW w:w="4675" w:type="dxa"/>
            <w:vAlign w:val="center"/>
          </w:tcPr>
          <w:p w14:paraId="4EECCEC5" w14:textId="12178DA9" w:rsidR="00303BEF" w:rsidRPr="00BB742F" w:rsidRDefault="00303BEF" w:rsidP="00965B88">
            <w:r w:rsidRPr="00965B88">
              <w:rPr>
                <w:sz w:val="28"/>
                <w:szCs w:val="28"/>
              </w:rPr>
              <w:t>Fee Description</w:t>
            </w:r>
          </w:p>
        </w:tc>
        <w:tc>
          <w:tcPr>
            <w:tcW w:w="4675" w:type="dxa"/>
            <w:gridSpan w:val="2"/>
            <w:vAlign w:val="center"/>
          </w:tcPr>
          <w:p w14:paraId="6DC52FDC" w14:textId="77777777" w:rsidR="00303BEF" w:rsidRPr="00BB742F" w:rsidRDefault="00303BEF" w:rsidP="00965B88">
            <w:r w:rsidRPr="00965B88">
              <w:rPr>
                <w:sz w:val="28"/>
                <w:szCs w:val="28"/>
              </w:rPr>
              <w:t>Rate</w:t>
            </w:r>
          </w:p>
        </w:tc>
      </w:tr>
      <w:tr w:rsidR="00303BEF" w14:paraId="17476F49" w14:textId="77777777" w:rsidTr="00965B88">
        <w:trPr>
          <w:trHeight w:val="1296"/>
        </w:trPr>
        <w:tc>
          <w:tcPr>
            <w:tcW w:w="4675" w:type="dxa"/>
            <w:vAlign w:val="center"/>
          </w:tcPr>
          <w:p w14:paraId="53BFC627" w14:textId="77777777" w:rsidR="003C25FB" w:rsidRDefault="00303BEF" w:rsidP="003C25FB">
            <w:r>
              <w:t>Bond Transfer Fee</w:t>
            </w:r>
            <w:r w:rsidR="003C25FB">
              <w:rPr>
                <w:rStyle w:val="FootnoteReference"/>
              </w:rPr>
              <w:footnoteReference w:id="8"/>
            </w:r>
          </w:p>
          <w:p w14:paraId="7D6957A0" w14:textId="58A8833E" w:rsidR="00303BEF" w:rsidRDefault="00303BEF" w:rsidP="003C25FB">
            <w:pPr>
              <w:ind w:left="720"/>
            </w:pPr>
            <w:r>
              <w:t>(due upon request to transfer ownership or with substitution of credit enhancement)</w:t>
            </w:r>
          </w:p>
        </w:tc>
        <w:tc>
          <w:tcPr>
            <w:tcW w:w="4675" w:type="dxa"/>
            <w:gridSpan w:val="2"/>
            <w:vAlign w:val="center"/>
          </w:tcPr>
          <w:p w14:paraId="4D537F4C" w14:textId="77777777" w:rsidR="00303BEF" w:rsidRDefault="00303BEF" w:rsidP="00965B88">
            <w:r>
              <w:t>$2,500</w:t>
            </w:r>
          </w:p>
        </w:tc>
      </w:tr>
      <w:tr w:rsidR="00303BEF" w14:paraId="7F1F1227" w14:textId="77777777" w:rsidTr="00965B88">
        <w:trPr>
          <w:trHeight w:val="1008"/>
        </w:trPr>
        <w:tc>
          <w:tcPr>
            <w:tcW w:w="4675" w:type="dxa"/>
            <w:vAlign w:val="center"/>
          </w:tcPr>
          <w:p w14:paraId="2A8513D8" w14:textId="77777777" w:rsidR="00303BEF" w:rsidRDefault="00303BEF" w:rsidP="00965B88">
            <w:r>
              <w:t>New Mexico State Board of Finance Extension Fee</w:t>
            </w:r>
          </w:p>
          <w:p w14:paraId="4E571484" w14:textId="77777777" w:rsidR="00303BEF" w:rsidRDefault="00303BEF" w:rsidP="00965B88">
            <w:pPr>
              <w:ind w:left="720"/>
            </w:pPr>
            <w:r>
              <w:t>(if extension is approved)</w:t>
            </w:r>
          </w:p>
        </w:tc>
        <w:tc>
          <w:tcPr>
            <w:tcW w:w="4675" w:type="dxa"/>
            <w:gridSpan w:val="2"/>
            <w:vAlign w:val="center"/>
          </w:tcPr>
          <w:p w14:paraId="7DBAFDFE" w14:textId="77777777" w:rsidR="00303BEF" w:rsidRDefault="00303BEF" w:rsidP="00965B88">
            <w:r>
              <w:t>$750</w:t>
            </w:r>
          </w:p>
        </w:tc>
      </w:tr>
      <w:tr w:rsidR="000F42F3" w14:paraId="1EB9EBC7" w14:textId="77777777" w:rsidTr="00965B88">
        <w:trPr>
          <w:trHeight w:val="1008"/>
        </w:trPr>
        <w:tc>
          <w:tcPr>
            <w:tcW w:w="4675" w:type="dxa"/>
            <w:vAlign w:val="center"/>
          </w:tcPr>
          <w:p w14:paraId="4007D088" w14:textId="3BD1EAEB" w:rsidR="000F42F3" w:rsidRDefault="000F42F3" w:rsidP="00965B88">
            <w:r w:rsidRPr="000F42F3">
              <w:t xml:space="preserve">If </w:t>
            </w:r>
            <w:r w:rsidR="007006EF">
              <w:t>Housing New Mexico</w:t>
            </w:r>
            <w:r w:rsidRPr="000F42F3">
              <w:t xml:space="preserve"> provides credit enhancement, additional fees related to loan processing and origination will apply.</w:t>
            </w:r>
          </w:p>
        </w:tc>
        <w:tc>
          <w:tcPr>
            <w:tcW w:w="4675" w:type="dxa"/>
            <w:gridSpan w:val="2"/>
            <w:vAlign w:val="center"/>
          </w:tcPr>
          <w:p w14:paraId="06D7C554" w14:textId="299F03B5" w:rsidR="000F42F3" w:rsidRDefault="000F42F3" w:rsidP="00965B88">
            <w:r>
              <w:t>Various</w:t>
            </w:r>
          </w:p>
        </w:tc>
      </w:tr>
      <w:tr w:rsidR="0098547D" w14:paraId="24FAA963" w14:textId="77777777" w:rsidTr="00E61DBA">
        <w:trPr>
          <w:trHeight w:val="622"/>
        </w:trPr>
        <w:tc>
          <w:tcPr>
            <w:tcW w:w="4675" w:type="dxa"/>
            <w:vMerge w:val="restart"/>
            <w:vAlign w:val="center"/>
          </w:tcPr>
          <w:p w14:paraId="21EF3C92" w14:textId="5E293738" w:rsidR="0098547D" w:rsidRPr="000F42F3" w:rsidRDefault="0098547D" w:rsidP="00965B88">
            <w:r>
              <w:t>Contract Fees (Direct Cost paid directly to third party)</w:t>
            </w:r>
          </w:p>
        </w:tc>
        <w:tc>
          <w:tcPr>
            <w:tcW w:w="2520" w:type="dxa"/>
            <w:vAlign w:val="center"/>
          </w:tcPr>
          <w:p w14:paraId="323BEE42" w14:textId="7CCDB940" w:rsidR="0098547D" w:rsidRDefault="0098547D" w:rsidP="00965B88">
            <w:r>
              <w:t>Bond Counsel</w:t>
            </w:r>
          </w:p>
        </w:tc>
        <w:tc>
          <w:tcPr>
            <w:tcW w:w="2155" w:type="dxa"/>
            <w:vMerge w:val="restart"/>
            <w:vAlign w:val="center"/>
          </w:tcPr>
          <w:p w14:paraId="71F37C76" w14:textId="3F19E93D" w:rsidR="0098547D" w:rsidRDefault="0098547D" w:rsidP="00965B88">
            <w:r>
              <w:t>Various, based on bond size and structure</w:t>
            </w:r>
          </w:p>
        </w:tc>
      </w:tr>
      <w:tr w:rsidR="0098547D" w14:paraId="411FD471" w14:textId="77777777" w:rsidTr="00E61DBA">
        <w:trPr>
          <w:trHeight w:val="622"/>
        </w:trPr>
        <w:tc>
          <w:tcPr>
            <w:tcW w:w="4675" w:type="dxa"/>
            <w:vMerge/>
            <w:vAlign w:val="center"/>
          </w:tcPr>
          <w:p w14:paraId="7547E8FB" w14:textId="77777777" w:rsidR="0098547D" w:rsidRDefault="0098547D" w:rsidP="00965B88"/>
        </w:tc>
        <w:tc>
          <w:tcPr>
            <w:tcW w:w="2520" w:type="dxa"/>
            <w:vAlign w:val="center"/>
          </w:tcPr>
          <w:p w14:paraId="55976D01" w14:textId="7EA31182" w:rsidR="0098547D" w:rsidRDefault="0098547D" w:rsidP="00965B88">
            <w:r>
              <w:t>Fiscal Agent/Trustee</w:t>
            </w:r>
          </w:p>
        </w:tc>
        <w:tc>
          <w:tcPr>
            <w:tcW w:w="2155" w:type="dxa"/>
            <w:vMerge/>
            <w:vAlign w:val="center"/>
          </w:tcPr>
          <w:p w14:paraId="62C1D546" w14:textId="16299DCD" w:rsidR="0098547D" w:rsidRDefault="0098547D" w:rsidP="00965B88"/>
        </w:tc>
      </w:tr>
      <w:tr w:rsidR="0098547D" w14:paraId="58B68943" w14:textId="77777777" w:rsidTr="00E61DBA">
        <w:trPr>
          <w:trHeight w:val="622"/>
        </w:trPr>
        <w:tc>
          <w:tcPr>
            <w:tcW w:w="4675" w:type="dxa"/>
            <w:vMerge/>
            <w:vAlign w:val="center"/>
          </w:tcPr>
          <w:p w14:paraId="7D25D01C" w14:textId="77777777" w:rsidR="0098547D" w:rsidRDefault="0098547D" w:rsidP="00965B88"/>
        </w:tc>
        <w:tc>
          <w:tcPr>
            <w:tcW w:w="2520" w:type="dxa"/>
            <w:vAlign w:val="center"/>
          </w:tcPr>
          <w:p w14:paraId="3A84DD46" w14:textId="697DCC44" w:rsidR="0098547D" w:rsidRDefault="0098547D" w:rsidP="00965B88">
            <w:r>
              <w:t>Financial Advisor</w:t>
            </w:r>
          </w:p>
        </w:tc>
        <w:tc>
          <w:tcPr>
            <w:tcW w:w="2155" w:type="dxa"/>
            <w:vMerge/>
            <w:vAlign w:val="center"/>
          </w:tcPr>
          <w:p w14:paraId="2EADB2F1" w14:textId="2AD4A32E" w:rsidR="0098547D" w:rsidRDefault="0098547D" w:rsidP="00965B88"/>
        </w:tc>
      </w:tr>
    </w:tbl>
    <w:p w14:paraId="0157D5C7" w14:textId="77777777" w:rsidR="00B428AF" w:rsidRDefault="00B428AF">
      <w:pPr>
        <w:rPr>
          <w:u w:val="single"/>
        </w:rPr>
      </w:pPr>
      <w:r>
        <w:rPr>
          <w:u w:val="single"/>
        </w:rPr>
        <w:br w:type="page"/>
      </w:r>
    </w:p>
    <w:p w14:paraId="7E471379" w14:textId="7B80F557" w:rsidR="007A3996" w:rsidRPr="00E92571" w:rsidRDefault="006569D2" w:rsidP="00681AED">
      <w:pPr>
        <w:pStyle w:val="Heading1"/>
      </w:pPr>
      <w:bookmarkStart w:id="18" w:name="_Bond_Checklist"/>
      <w:bookmarkStart w:id="19" w:name="_Toc203744907"/>
      <w:bookmarkEnd w:id="18"/>
      <w:r w:rsidRPr="00681AED">
        <w:rPr>
          <w:rFonts w:ascii="Lato" w:hAnsi="Lato"/>
        </w:rPr>
        <w:lastRenderedPageBreak/>
        <w:t>Bond Checklist</w:t>
      </w:r>
      <w:bookmarkEnd w:id="19"/>
    </w:p>
    <w:p w14:paraId="0AF1F209" w14:textId="1B79B041" w:rsidR="00605B3C" w:rsidRPr="00681AED" w:rsidRDefault="007A3996" w:rsidP="00681AED">
      <w:pPr>
        <w:rPr>
          <w:i/>
          <w:iCs/>
        </w:rPr>
      </w:pPr>
      <w:r w:rsidRPr="0020272C">
        <w:t xml:space="preserve">This </w:t>
      </w:r>
      <w:r>
        <w:t>section</w:t>
      </w:r>
      <w:r w:rsidRPr="0020272C">
        <w:t xml:space="preserve"> is intended to be a summary of areas in the New Mexico Qualified Allocation Plan (QAP) where there are different requirements between 9% LIHTC competitive application projects and 4% LIHTC projects associated with tax-exempt bonds. </w:t>
      </w:r>
      <w:r w:rsidRPr="0020272C">
        <w:rPr>
          <w:i/>
          <w:iCs/>
        </w:rPr>
        <w:t>It is not all inclusive and Applicants should refer to the QAP for further information.</w:t>
      </w:r>
    </w:p>
    <w:p w14:paraId="59AE9DF4" w14:textId="12640CF9" w:rsidR="0020272C" w:rsidRPr="00654F19" w:rsidRDefault="00605B3C" w:rsidP="00654F19">
      <w:pPr>
        <w:pStyle w:val="Heading2"/>
      </w:pPr>
      <w:bookmarkStart w:id="20" w:name="_Toc203744908"/>
      <w:r w:rsidRPr="00654F19">
        <w:t>General Process</w:t>
      </w:r>
      <w:bookmarkEnd w:id="20"/>
    </w:p>
    <w:p w14:paraId="1AEE7295" w14:textId="1D807B11" w:rsidR="0020272C" w:rsidRPr="0020272C" w:rsidRDefault="0020272C" w:rsidP="0020272C">
      <w:r w:rsidRPr="0020272C">
        <w:t>QAP Section VI</w:t>
      </w:r>
      <w:r w:rsidR="00F3137A">
        <w:t>.</w:t>
      </w:r>
      <w:r w:rsidRPr="0020272C">
        <w:t xml:space="preserve"> </w:t>
      </w:r>
      <w:r w:rsidR="00F3137A">
        <w:t>“</w:t>
      </w:r>
      <w:r w:rsidRPr="0020272C">
        <w:rPr>
          <w:i/>
          <w:iCs/>
        </w:rPr>
        <w:t>Processing of Tax-Exempt Bond Financed Project Applications</w:t>
      </w:r>
      <w:r w:rsidR="00F3137A">
        <w:rPr>
          <w:i/>
          <w:iCs/>
        </w:rPr>
        <w:t>”</w:t>
      </w:r>
      <w:r w:rsidRPr="0020272C">
        <w:rPr>
          <w:i/>
          <w:iCs/>
        </w:rPr>
        <w:t xml:space="preserve"> </w:t>
      </w:r>
      <w:r w:rsidRPr="0020272C">
        <w:t>includes information specific to 4% Projects.</w:t>
      </w:r>
    </w:p>
    <w:p w14:paraId="48AE88E8" w14:textId="3A665A2D" w:rsidR="0020272C" w:rsidRPr="0020272C" w:rsidRDefault="0020272C" w:rsidP="0020272C">
      <w:r w:rsidRPr="0020272C">
        <w:t xml:space="preserve">Applicants apply for private activity bonds through an issuing agency for an inducement resolution. In New Mexico, while there are </w:t>
      </w:r>
      <w:r w:rsidR="00F3137A" w:rsidRPr="0020272C">
        <w:t>several</w:t>
      </w:r>
      <w:r w:rsidRPr="0020272C">
        <w:t xml:space="preserve"> local municipalities that are issuing agencies, </w:t>
      </w:r>
      <w:r w:rsidR="007006EF">
        <w:t>Housing New Mexico</w:t>
      </w:r>
      <w:r w:rsidRPr="0020272C">
        <w:t xml:space="preserve"> can issue bonds for the entire state.</w:t>
      </w:r>
    </w:p>
    <w:p w14:paraId="6AC710C2" w14:textId="3D276EE3" w:rsidR="0020272C" w:rsidRPr="0020272C" w:rsidRDefault="0020272C" w:rsidP="0020272C">
      <w:r w:rsidRPr="0020272C">
        <w:t xml:space="preserve">Applicants apply to </w:t>
      </w:r>
      <w:r w:rsidR="0091063F">
        <w:t>Housing New Mexico</w:t>
      </w:r>
      <w:r w:rsidRPr="0020272C">
        <w:t xml:space="preserve"> for a determination of qualification that the project is eligible for 4% tax credits, </w:t>
      </w:r>
      <w:r w:rsidR="00E3695F" w:rsidRPr="0020272C">
        <w:t>regardless of</w:t>
      </w:r>
      <w:r w:rsidRPr="0020272C">
        <w:t xml:space="preserve"> </w:t>
      </w:r>
      <w:r w:rsidR="00E3695F">
        <w:t>who the bond</w:t>
      </w:r>
      <w:r w:rsidRPr="0020272C">
        <w:t xml:space="preserve"> issuing agency</w:t>
      </w:r>
      <w:r w:rsidR="00E3695F">
        <w:t xml:space="preserve"> is</w:t>
      </w:r>
      <w:r w:rsidRPr="0020272C">
        <w:t xml:space="preserve">. This letter is also known as a 42(m) letter. Applicants submit the tax credit application to </w:t>
      </w:r>
      <w:r w:rsidR="0091063F">
        <w:t>Housing New Mexico</w:t>
      </w:r>
      <w:r w:rsidRPr="0020272C">
        <w:t xml:space="preserve"> and receive a draft 42(m) letter </w:t>
      </w:r>
      <w:r w:rsidRPr="00681AED">
        <w:rPr>
          <w:u w:val="single"/>
        </w:rPr>
        <w:t>before</w:t>
      </w:r>
      <w:r w:rsidRPr="0020272C">
        <w:rPr>
          <w:i/>
          <w:iCs/>
        </w:rPr>
        <w:t xml:space="preserve"> </w:t>
      </w:r>
      <w:r w:rsidRPr="0020272C">
        <w:t xml:space="preserve">working with the issuing agency to apply to the New Mexico State Board of Finance (SBOF) for </w:t>
      </w:r>
      <w:r w:rsidR="00F12804">
        <w:t>P</w:t>
      </w:r>
      <w:r w:rsidRPr="0020272C">
        <w:t xml:space="preserve">rivate </w:t>
      </w:r>
      <w:r w:rsidR="00F12804">
        <w:t>A</w:t>
      </w:r>
      <w:r w:rsidRPr="0020272C">
        <w:t>ctivity</w:t>
      </w:r>
      <w:r w:rsidR="00F12804">
        <w:t xml:space="preserve"> B</w:t>
      </w:r>
      <w:r w:rsidRPr="0020272C">
        <w:t xml:space="preserve">ond </w:t>
      </w:r>
      <w:r w:rsidR="00F12804">
        <w:t>(PAB) V</w:t>
      </w:r>
      <w:r w:rsidRPr="0020272C">
        <w:t xml:space="preserve">olume </w:t>
      </w:r>
      <w:r w:rsidR="00F12804">
        <w:t>C</w:t>
      </w:r>
      <w:r w:rsidRPr="0020272C">
        <w:t>ap</w:t>
      </w:r>
      <w:r w:rsidR="00E3695F">
        <w:t>.</w:t>
      </w:r>
    </w:p>
    <w:p w14:paraId="66EE87BA" w14:textId="547C844A" w:rsidR="0099765F" w:rsidRPr="00654F19" w:rsidRDefault="000C0CD9" w:rsidP="00654F19">
      <w:pPr>
        <w:pStyle w:val="Heading2"/>
      </w:pPr>
      <w:bookmarkStart w:id="21" w:name="_Toc203744909"/>
      <w:r w:rsidRPr="00654F19">
        <w:t>Application</w:t>
      </w:r>
      <w:bookmarkEnd w:id="21"/>
    </w:p>
    <w:p w14:paraId="67D9C5AE" w14:textId="73F43B84" w:rsidR="0099765F" w:rsidRPr="0099765F" w:rsidRDefault="0099765F" w:rsidP="0099765F">
      <w:r w:rsidRPr="0099765F">
        <w:rPr>
          <w:i/>
          <w:iCs/>
        </w:rPr>
        <w:t>Federal Register Notice: 87 FR 64515</w:t>
      </w:r>
    </w:p>
    <w:p w14:paraId="28819F9F" w14:textId="77777777" w:rsidR="0099765F" w:rsidRPr="0099765F" w:rsidRDefault="0099765F" w:rsidP="0099765F">
      <w:r w:rsidRPr="0099765F">
        <w:t xml:space="preserve">An application is deemed to be submitted on the date it is filed if the application is determined to be complete by the credit-allocating or bond issuing agency. A “complete application” means no more than de minimis clarification of the application is required for the agency to </w:t>
      </w:r>
      <w:proofErr w:type="gramStart"/>
      <w:r w:rsidRPr="0099765F">
        <w:t>make a decision</w:t>
      </w:r>
      <w:proofErr w:type="gramEnd"/>
      <w:r w:rsidRPr="0099765F">
        <w:t xml:space="preserve"> about the allocation of tax credits or issuance of bonds requested in the application. </w:t>
      </w:r>
    </w:p>
    <w:p w14:paraId="7567E079" w14:textId="77777777" w:rsidR="0099765F" w:rsidRDefault="0099765F" w:rsidP="00D62CDA">
      <w:pPr>
        <w:pStyle w:val="ListParagraph"/>
        <w:numPr>
          <w:ilvl w:val="0"/>
          <w:numId w:val="4"/>
        </w:numPr>
      </w:pPr>
      <w:r w:rsidRPr="0099765F">
        <w:rPr>
          <w:b/>
          <w:bCs/>
        </w:rPr>
        <w:t>De minimis</w:t>
      </w:r>
      <w:r w:rsidRPr="0099765F">
        <w:t xml:space="preserve">: Initial Applications that meet all the standards described in Section IV.A.4 in the 2024 QAP under “Content and Format” when initially submitted and that do not require any deficiency corrections. </w:t>
      </w:r>
    </w:p>
    <w:p w14:paraId="117234B2" w14:textId="18F926C2" w:rsidR="0099765F" w:rsidRPr="0099765F" w:rsidRDefault="0099765F" w:rsidP="00D62CDA">
      <w:pPr>
        <w:pStyle w:val="ListParagraph"/>
        <w:numPr>
          <w:ilvl w:val="0"/>
          <w:numId w:val="4"/>
        </w:numPr>
      </w:pPr>
      <w:r w:rsidRPr="0099765F">
        <w:rPr>
          <w:b/>
          <w:bCs/>
        </w:rPr>
        <w:t xml:space="preserve">Complete Application </w:t>
      </w:r>
      <w:r w:rsidRPr="0099765F">
        <w:t xml:space="preserve">– an Initial Application meeting </w:t>
      </w:r>
      <w:proofErr w:type="gramStart"/>
      <w:r w:rsidRPr="0099765F">
        <w:t>all of</w:t>
      </w:r>
      <w:proofErr w:type="gramEnd"/>
      <w:r w:rsidRPr="0099765F">
        <w:t xml:space="preserve"> the requirements in Section IV.A.4, Content and Format. </w:t>
      </w:r>
    </w:p>
    <w:p w14:paraId="655C579F" w14:textId="77777777" w:rsidR="0099765F" w:rsidRPr="0099765F" w:rsidRDefault="0099765F" w:rsidP="0099765F">
      <w:r w:rsidRPr="0099765F">
        <w:t xml:space="preserve">All items in Tabs 1 – 141 from the Tab 1a Checklist are required. </w:t>
      </w:r>
    </w:p>
    <w:p w14:paraId="13F42CB7" w14:textId="34F91D2D" w:rsidR="0099765F" w:rsidRPr="0099765F" w:rsidRDefault="0099765F" w:rsidP="0099765F">
      <w:r w:rsidRPr="0099765F">
        <w:lastRenderedPageBreak/>
        <w:t>QAP Section VI</w:t>
      </w:r>
      <w:r w:rsidR="009664C0">
        <w:t>.</w:t>
      </w:r>
      <w:r w:rsidRPr="0099765F">
        <w:t xml:space="preserve"> describes the processing of tax-exempt bond financed Project Applications.</w:t>
      </w:r>
    </w:p>
    <w:p w14:paraId="19642506" w14:textId="77777777" w:rsidR="0099765F" w:rsidRPr="0099765F" w:rsidRDefault="0099765F" w:rsidP="0099765F">
      <w:r w:rsidRPr="0099765F">
        <w:t xml:space="preserve">Tax-exempt bond financed Projects </w:t>
      </w:r>
      <w:r w:rsidRPr="0099765F">
        <w:rPr>
          <w:i/>
          <w:iCs/>
        </w:rPr>
        <w:t xml:space="preserve">are no longer required to meet a minimum score </w:t>
      </w:r>
      <w:proofErr w:type="gramStart"/>
      <w:r w:rsidRPr="0099765F">
        <w:t>in order to</w:t>
      </w:r>
      <w:proofErr w:type="gramEnd"/>
      <w:r w:rsidRPr="0099765F">
        <w:t xml:space="preserve"> obtain a Letter of Determination. However, they must meet and agree to all eight of the following mandatory criteria </w:t>
      </w:r>
      <w:proofErr w:type="gramStart"/>
      <w:r w:rsidRPr="0099765F">
        <w:t>in order to</w:t>
      </w:r>
      <w:proofErr w:type="gramEnd"/>
      <w:r w:rsidRPr="0099765F">
        <w:t xml:space="preserve"> be eligible for 4% non-competitive tax credits: </w:t>
      </w:r>
    </w:p>
    <w:p w14:paraId="31ED2807" w14:textId="1BD5955F" w:rsidR="0099765F" w:rsidRPr="00681AED" w:rsidRDefault="0099765F" w:rsidP="00D62CDA">
      <w:pPr>
        <w:pStyle w:val="ListParagraph"/>
        <w:numPr>
          <w:ilvl w:val="0"/>
          <w:numId w:val="5"/>
        </w:numPr>
      </w:pPr>
      <w:r w:rsidRPr="00681AED">
        <w:t xml:space="preserve">Serve a Targeted Population </w:t>
      </w:r>
    </w:p>
    <w:p w14:paraId="72256E01" w14:textId="5C7EBC6E" w:rsidR="0099765F" w:rsidRPr="0099765F" w:rsidRDefault="00DC0ABD" w:rsidP="00681AED">
      <w:pPr>
        <w:ind w:left="720"/>
      </w:pPr>
      <w:r>
        <w:t>Can ei</w:t>
      </w:r>
      <w:r w:rsidRPr="0099765F">
        <w:t>ther</w:t>
      </w:r>
      <w:r w:rsidR="0099765F" w:rsidRPr="0099765F">
        <w:t xml:space="preserve"> meet all requirements under the Underserved Populations set-aside found at QAP Section III.D </w:t>
      </w:r>
      <w:r w:rsidR="0099765F" w:rsidRPr="00681AED">
        <w:rPr>
          <w:b/>
          <w:bCs/>
          <w:i/>
          <w:iCs/>
        </w:rPr>
        <w:t>OR</w:t>
      </w:r>
    </w:p>
    <w:p w14:paraId="20FA17EC" w14:textId="528D04C6" w:rsidR="0099765F" w:rsidRPr="0099765F" w:rsidRDefault="0099765F" w:rsidP="00681AED">
      <w:pPr>
        <w:ind w:left="720"/>
      </w:pPr>
      <w:r w:rsidRPr="0099765F">
        <w:t>Meet the threshold requirements for one of the three targeted populations found at QAP Section III.E.8 – 10:</w:t>
      </w:r>
    </w:p>
    <w:p w14:paraId="1534F3AA" w14:textId="77777777" w:rsidR="00DC0ABD" w:rsidRPr="00681AED" w:rsidRDefault="0099765F" w:rsidP="00DC0ABD">
      <w:pPr>
        <w:ind w:left="1440"/>
        <w:rPr>
          <w:u w:val="single"/>
        </w:rPr>
      </w:pPr>
      <w:r w:rsidRPr="00681AED">
        <w:rPr>
          <w:u w:val="single"/>
        </w:rPr>
        <w:t>Special Housing Needs Housing Priority – QAP Section III.E.8:</w:t>
      </w:r>
    </w:p>
    <w:p w14:paraId="5AAF0FC0" w14:textId="68E589ED" w:rsidR="0099765F" w:rsidRPr="0099765F" w:rsidRDefault="0099765F" w:rsidP="00D62CDA">
      <w:pPr>
        <w:pStyle w:val="ListParagraph"/>
        <w:numPr>
          <w:ilvl w:val="0"/>
          <w:numId w:val="6"/>
        </w:numPr>
      </w:pPr>
      <w:r w:rsidRPr="0099765F">
        <w:t xml:space="preserve">Everything described in QAP Section III.E.8 on pages 30-35 is required except for the supportive services that may be elected for points on pages 33 – 35. </w:t>
      </w:r>
    </w:p>
    <w:p w14:paraId="2C09EE9A" w14:textId="77777777" w:rsidR="00DC0ABD" w:rsidRDefault="0099765F" w:rsidP="00DC0ABD">
      <w:pPr>
        <w:ind w:left="1440"/>
        <w:rPr>
          <w:u w:val="single"/>
        </w:rPr>
      </w:pPr>
      <w:r w:rsidRPr="00681AED">
        <w:rPr>
          <w:u w:val="single"/>
        </w:rPr>
        <w:t>Seniors Housing Priority – QAP Section III.E.9:</w:t>
      </w:r>
    </w:p>
    <w:p w14:paraId="5430E086" w14:textId="15F4B3CC" w:rsidR="00DC0ABD" w:rsidRPr="00681AED" w:rsidRDefault="0099765F" w:rsidP="00D62CDA">
      <w:pPr>
        <w:pStyle w:val="ListParagraph"/>
        <w:numPr>
          <w:ilvl w:val="0"/>
          <w:numId w:val="6"/>
        </w:numPr>
        <w:rPr>
          <w:u w:val="single"/>
        </w:rPr>
      </w:pPr>
      <w:r w:rsidRPr="0099765F">
        <w:t>The project must meet the requirements on page 35 and provide a description of the Project’s specific design elements that service the needs of Seniors (Tab 20a)</w:t>
      </w:r>
      <w:r w:rsidR="00DC0ABD">
        <w:t>.</w:t>
      </w:r>
    </w:p>
    <w:p w14:paraId="7D2383D3" w14:textId="3D2B31BD" w:rsidR="00DC0ABD" w:rsidRPr="00681AED" w:rsidRDefault="0099765F" w:rsidP="00D62CDA">
      <w:pPr>
        <w:pStyle w:val="ListParagraph"/>
        <w:numPr>
          <w:ilvl w:val="0"/>
          <w:numId w:val="6"/>
        </w:numPr>
        <w:rPr>
          <w:u w:val="single"/>
        </w:rPr>
      </w:pPr>
      <w:r w:rsidRPr="0099765F">
        <w:t xml:space="preserve">The Project must qualify for an exemption from familial status discrimination under the Fair Housing Act, submit a Fair Housing Act Certification for Senior Housing Facilities (Tab 20b) and meet </w:t>
      </w:r>
      <w:r w:rsidR="0091063F">
        <w:t>Housing New Mexico</w:t>
      </w:r>
      <w:r w:rsidRPr="0099765F">
        <w:t>’s Mandatory Design Standards as described on page 35.</w:t>
      </w:r>
    </w:p>
    <w:p w14:paraId="553EBFD6" w14:textId="77777777" w:rsidR="00DC0ABD" w:rsidRPr="00681AED" w:rsidRDefault="0099765F" w:rsidP="00D62CDA">
      <w:pPr>
        <w:pStyle w:val="ListParagraph"/>
        <w:numPr>
          <w:ilvl w:val="0"/>
          <w:numId w:val="6"/>
        </w:numPr>
        <w:rPr>
          <w:u w:val="single"/>
        </w:rPr>
      </w:pPr>
      <w:r w:rsidRPr="0099765F">
        <w:t>The project must comply with Fair Housing Requirements as described at the top of page 37.</w:t>
      </w:r>
    </w:p>
    <w:p w14:paraId="518310DB" w14:textId="77777777" w:rsidR="00DC0ABD" w:rsidRPr="00681AED" w:rsidRDefault="0099765F" w:rsidP="00D62CDA">
      <w:pPr>
        <w:pStyle w:val="ListParagraph"/>
        <w:numPr>
          <w:ilvl w:val="0"/>
          <w:numId w:val="6"/>
        </w:numPr>
        <w:rPr>
          <w:u w:val="single"/>
        </w:rPr>
      </w:pPr>
      <w:r w:rsidRPr="0099765F">
        <w:t>Supportive services are not required. If the applicant elects to provide non-required services, the project must conform to the requirements stipulated on pages 36 - 38 regarding any fees and other documentation regarding the elective services.</w:t>
      </w:r>
    </w:p>
    <w:p w14:paraId="39B7F928" w14:textId="77777777" w:rsidR="00DC0ABD" w:rsidRDefault="0099765F" w:rsidP="00DC0ABD">
      <w:pPr>
        <w:ind w:left="1440"/>
        <w:rPr>
          <w:u w:val="single"/>
        </w:rPr>
      </w:pPr>
      <w:r w:rsidRPr="00681AED">
        <w:rPr>
          <w:u w:val="single"/>
        </w:rPr>
        <w:t>Households with Children Priority – QAP Section III.E.10:</w:t>
      </w:r>
    </w:p>
    <w:p w14:paraId="366D884B" w14:textId="73F263D8" w:rsidR="00DC0ABD" w:rsidRPr="00681AED" w:rsidRDefault="0099765F" w:rsidP="00D62CDA">
      <w:pPr>
        <w:pStyle w:val="ListParagraph"/>
        <w:numPr>
          <w:ilvl w:val="0"/>
          <w:numId w:val="7"/>
        </w:numPr>
        <w:rPr>
          <w:u w:val="single"/>
        </w:rPr>
      </w:pPr>
      <w:r w:rsidRPr="0099765F">
        <w:t xml:space="preserve">The project must meet the requirements on pages 38-39 and provide </w:t>
      </w:r>
      <w:r w:rsidR="00DC0ABD" w:rsidRPr="0099765F">
        <w:t>a</w:t>
      </w:r>
      <w:r w:rsidRPr="0099765F">
        <w:t xml:space="preserve"> description of the Project’s specific design elements that </w:t>
      </w:r>
      <w:r w:rsidRPr="0099765F">
        <w:lastRenderedPageBreak/>
        <w:t>serve the needs of Households with Children stipulated on the top of page 40 (</w:t>
      </w:r>
      <w:r w:rsidRPr="00DC0ABD">
        <w:rPr>
          <w:i/>
          <w:iCs/>
        </w:rPr>
        <w:t xml:space="preserve">See </w:t>
      </w:r>
      <w:r w:rsidRPr="0099765F">
        <w:t>Tabs 21a and 21b).</w:t>
      </w:r>
    </w:p>
    <w:p w14:paraId="5531E89C" w14:textId="7B24FFC0" w:rsidR="0099765F" w:rsidRPr="00681AED" w:rsidRDefault="0099765F" w:rsidP="00D62CDA">
      <w:pPr>
        <w:pStyle w:val="ListParagraph"/>
        <w:numPr>
          <w:ilvl w:val="0"/>
          <w:numId w:val="7"/>
        </w:numPr>
        <w:rPr>
          <w:u w:val="single"/>
        </w:rPr>
      </w:pPr>
      <w:r w:rsidRPr="0099765F">
        <w:t xml:space="preserve">Supportive services are not required. If the applicant elects to provide non-required services, the project must conform to the requirements stipulated on pages 39 - 41 regarding any fees and other documentation regarding the elective services. </w:t>
      </w:r>
    </w:p>
    <w:p w14:paraId="740E4DF2" w14:textId="77777777" w:rsidR="00192997" w:rsidRPr="00681AED" w:rsidRDefault="00192997" w:rsidP="00192997">
      <w:pPr>
        <w:rPr>
          <w:u w:val="single"/>
        </w:rPr>
      </w:pPr>
    </w:p>
    <w:p w14:paraId="76B57F70" w14:textId="6206BE2B" w:rsidR="0099765F" w:rsidRPr="00681AED" w:rsidRDefault="0099765F" w:rsidP="00D62CDA">
      <w:pPr>
        <w:pStyle w:val="ListParagraph"/>
        <w:numPr>
          <w:ilvl w:val="0"/>
          <w:numId w:val="5"/>
        </w:numPr>
      </w:pPr>
      <w:r w:rsidRPr="00681AED">
        <w:t>Achieve a Smoke-Free at Home Certification of Platinum or Gold*</w:t>
      </w:r>
      <w:r w:rsidR="00F05D6D">
        <w:t>.</w:t>
      </w:r>
    </w:p>
    <w:p w14:paraId="127760C7" w14:textId="77777777" w:rsidR="00BF0C9C" w:rsidRDefault="0099765F" w:rsidP="00BF0C9C">
      <w:pPr>
        <w:ind w:left="720"/>
      </w:pPr>
      <w:r w:rsidRPr="0099765F">
        <w:t>4% LIHTC Projects are required to participate in the New Mexico Smoke-Free at Home program. Complete Tab 23 indicating that the Project Owner will obtain either platinum or gold certification (as applicable).</w:t>
      </w:r>
    </w:p>
    <w:p w14:paraId="2D9F0E35" w14:textId="77777777" w:rsidR="00BF0C9C" w:rsidRDefault="0099765F" w:rsidP="00D62CDA">
      <w:pPr>
        <w:pStyle w:val="ListParagraph"/>
        <w:numPr>
          <w:ilvl w:val="0"/>
          <w:numId w:val="8"/>
        </w:numPr>
      </w:pPr>
      <w:r w:rsidRPr="0099765F">
        <w:t>New Construction Projects: must agree to participate and obtain the Smoke-Free at Home NM Platinum Certification (no smoking or use of electronic cigarettes at any time on any part of the property</w:t>
      </w:r>
      <w:proofErr w:type="gramStart"/>
      <w:r w:rsidRPr="0099765F">
        <w:t>);</w:t>
      </w:r>
      <w:proofErr w:type="gramEnd"/>
    </w:p>
    <w:p w14:paraId="247227B8" w14:textId="3610627C" w:rsidR="0099765F" w:rsidRPr="0099765F" w:rsidRDefault="0099765F" w:rsidP="00D62CDA">
      <w:pPr>
        <w:pStyle w:val="ListParagraph"/>
        <w:numPr>
          <w:ilvl w:val="0"/>
          <w:numId w:val="8"/>
        </w:numPr>
      </w:pPr>
      <w:r w:rsidRPr="0099765F">
        <w:t xml:space="preserve">Rehabilitation and/or Adaptive Reuse Projects: must agree to </w:t>
      </w:r>
      <w:proofErr w:type="gramStart"/>
      <w:r w:rsidRPr="0099765F">
        <w:t>participate</w:t>
      </w:r>
      <w:proofErr w:type="gramEnd"/>
      <w:r w:rsidRPr="0099765F">
        <w:t xml:space="preserve"> and obtain the Smoke-Free at Home NM Gold Certification (no smoking or use of electronic cigarettes is permitted at any time on any part of the property</w:t>
      </w:r>
      <w:proofErr w:type="gramStart"/>
      <w:r w:rsidRPr="0099765F">
        <w:t>);</w:t>
      </w:r>
      <w:proofErr w:type="gramEnd"/>
      <w:r w:rsidRPr="0099765F">
        <w:t xml:space="preserve"> </w:t>
      </w:r>
    </w:p>
    <w:p w14:paraId="72339551" w14:textId="77777777" w:rsidR="0099765F" w:rsidRPr="0099765F" w:rsidRDefault="0099765F" w:rsidP="00681AED">
      <w:pPr>
        <w:ind w:left="720"/>
      </w:pPr>
      <w:r w:rsidRPr="0099765F">
        <w:t xml:space="preserve">The Project must have appropriate space for the provision of smoking cessation classes. </w:t>
      </w:r>
    </w:p>
    <w:p w14:paraId="3FF44813" w14:textId="613B4C9E" w:rsidR="0099765F" w:rsidRPr="0099765F" w:rsidRDefault="0099765F" w:rsidP="00681AED">
      <w:pPr>
        <w:ind w:left="720"/>
      </w:pPr>
      <w:r w:rsidRPr="0099765F">
        <w:t xml:space="preserve">More information on the Certification programs may be found at </w:t>
      </w:r>
      <w:hyperlink r:id="rId10" w:history="1">
        <w:r w:rsidRPr="00BF0C9C">
          <w:rPr>
            <w:rStyle w:val="Hyperlink"/>
          </w:rPr>
          <w:t>https://www.smokefreeathomenm.org/get-certified-today/</w:t>
        </w:r>
      </w:hyperlink>
      <w:r w:rsidRPr="0099765F">
        <w:t xml:space="preserve">. </w:t>
      </w:r>
    </w:p>
    <w:p w14:paraId="3FEF6933" w14:textId="4EBC0E02" w:rsidR="00192997" w:rsidRDefault="0099765F" w:rsidP="00192997">
      <w:pPr>
        <w:ind w:left="720"/>
      </w:pPr>
      <w:r w:rsidRPr="0099765F">
        <w:t>*</w:t>
      </w:r>
      <w:proofErr w:type="gramStart"/>
      <w:r w:rsidRPr="0099765F">
        <w:t>In order to</w:t>
      </w:r>
      <w:proofErr w:type="gramEnd"/>
      <w:r w:rsidRPr="0099765F">
        <w:t xml:space="preserve"> receive Certification, Applicants will be required to complete three steps as detailed on the Smoke-Free at Home website, including the submission of a Letter of Intent, a Lease Addendum, and a Violation Policy. Proof of the applicable certification must be submitted with Project’s 8609 Application.</w:t>
      </w:r>
    </w:p>
    <w:p w14:paraId="38AD6865" w14:textId="77777777" w:rsidR="00192997" w:rsidRPr="0099765F" w:rsidRDefault="00192997" w:rsidP="00192997"/>
    <w:p w14:paraId="0D123321" w14:textId="408DE836" w:rsidR="0099765F" w:rsidRPr="00681AED" w:rsidRDefault="0099765F" w:rsidP="00D62CDA">
      <w:pPr>
        <w:pStyle w:val="ListParagraph"/>
        <w:numPr>
          <w:ilvl w:val="0"/>
          <w:numId w:val="5"/>
        </w:numPr>
      </w:pPr>
      <w:r w:rsidRPr="00681AED">
        <w:t>Meet all of 2024 Mandatory Design Requirements Standards for Multifamily Housing (including HERS ratings), unless granted a waiver</w:t>
      </w:r>
      <w:r w:rsidR="00F05D6D">
        <w:t>.</w:t>
      </w:r>
    </w:p>
    <w:p w14:paraId="0E402DF7" w14:textId="5A1763D2" w:rsidR="0099765F" w:rsidRDefault="0099765F" w:rsidP="00192997">
      <w:pPr>
        <w:ind w:left="720"/>
      </w:pPr>
      <w:r w:rsidRPr="0099765F">
        <w:t>The architect’s certification at Tab 10e must be submitted. If the Applicant is requesting a waiver, complete Tab 11a and submit the applicable fee.</w:t>
      </w:r>
    </w:p>
    <w:p w14:paraId="3F9E288A" w14:textId="77777777" w:rsidR="003C365A" w:rsidRPr="0099765F" w:rsidRDefault="003C365A" w:rsidP="003C365A"/>
    <w:p w14:paraId="4F302051" w14:textId="0AB916D9" w:rsidR="0099765F" w:rsidRPr="00681AED" w:rsidRDefault="003C365A" w:rsidP="00D62CDA">
      <w:pPr>
        <w:pStyle w:val="ListParagraph"/>
        <w:numPr>
          <w:ilvl w:val="0"/>
          <w:numId w:val="5"/>
        </w:numPr>
      </w:pPr>
      <w:r w:rsidRPr="003C365A">
        <w:lastRenderedPageBreak/>
        <w:t>It must</w:t>
      </w:r>
      <w:r w:rsidR="0099765F" w:rsidRPr="00681AED">
        <w:t xml:space="preserve"> be located within 15 </w:t>
      </w:r>
      <w:r w:rsidRPr="003C365A">
        <w:t>minutes’</w:t>
      </w:r>
      <w:r w:rsidR="0099765F" w:rsidRPr="00681AED">
        <w:t xml:space="preserve"> driving distance of a facility in which fresh produce is </w:t>
      </w:r>
      <w:r w:rsidRPr="003C365A">
        <w:t>available.</w:t>
      </w:r>
    </w:p>
    <w:p w14:paraId="04549720" w14:textId="77777777" w:rsidR="0099765F" w:rsidRPr="0099765F" w:rsidRDefault="0099765F" w:rsidP="00681AED">
      <w:pPr>
        <w:ind w:left="720"/>
      </w:pPr>
      <w:r w:rsidRPr="0099765F">
        <w:t xml:space="preserve">Complete Tab 16a Locational Efficiency Score Worksheet with address of facility. </w:t>
      </w:r>
    </w:p>
    <w:p w14:paraId="51565DDF" w14:textId="1A319DA8" w:rsidR="003C365A" w:rsidRDefault="0099765F" w:rsidP="003C365A">
      <w:pPr>
        <w:ind w:left="720"/>
      </w:pPr>
      <w:r w:rsidRPr="0099765F">
        <w:t>At Tab 16b, insert Google map showing driving distance to facility described at Tab 16a.</w:t>
      </w:r>
    </w:p>
    <w:p w14:paraId="07537262" w14:textId="77777777" w:rsidR="003C365A" w:rsidRPr="0099765F" w:rsidRDefault="003C365A" w:rsidP="003C365A"/>
    <w:p w14:paraId="0B8D503C" w14:textId="33B08C64" w:rsidR="0099765F" w:rsidRPr="00681AED" w:rsidRDefault="0099765F" w:rsidP="00D62CDA">
      <w:pPr>
        <w:pStyle w:val="ListParagraph"/>
        <w:numPr>
          <w:ilvl w:val="0"/>
          <w:numId w:val="5"/>
        </w:numPr>
      </w:pPr>
      <w:r w:rsidRPr="00681AED">
        <w:t xml:space="preserve">Market Study must indicate a vacancy rate in the Primary Market Area of less than </w:t>
      </w:r>
      <w:r w:rsidR="003C365A" w:rsidRPr="00681AED">
        <w:t>10%.</w:t>
      </w:r>
      <w:r w:rsidRPr="00681AED">
        <w:t xml:space="preserve"> </w:t>
      </w:r>
    </w:p>
    <w:p w14:paraId="474BBD4D" w14:textId="0CEBE396" w:rsidR="0099765F" w:rsidRDefault="0099765F" w:rsidP="003C365A">
      <w:pPr>
        <w:ind w:left="720"/>
      </w:pPr>
      <w:r w:rsidRPr="0099765F">
        <w:t>Submit the Tab 13a Certification of Qualified Professional with the Market Study.</w:t>
      </w:r>
    </w:p>
    <w:p w14:paraId="0F12277C" w14:textId="77777777" w:rsidR="003C365A" w:rsidRPr="0099765F" w:rsidRDefault="003C365A" w:rsidP="003C365A"/>
    <w:p w14:paraId="3FAA12F5" w14:textId="10016712" w:rsidR="0099765F" w:rsidRPr="00681AED" w:rsidRDefault="0099765F" w:rsidP="00D62CDA">
      <w:pPr>
        <w:pStyle w:val="ListParagraph"/>
        <w:numPr>
          <w:ilvl w:val="0"/>
          <w:numId w:val="5"/>
        </w:numPr>
      </w:pPr>
      <w:r w:rsidRPr="00681AED">
        <w:t xml:space="preserve">Must market to local Public Housing </w:t>
      </w:r>
      <w:r w:rsidR="00F05D6D" w:rsidRPr="00F05D6D">
        <w:t>Authorities.</w:t>
      </w:r>
    </w:p>
    <w:p w14:paraId="04192F09" w14:textId="77777777" w:rsidR="003C365A" w:rsidRDefault="0099765F" w:rsidP="003C365A">
      <w:pPr>
        <w:ind w:left="720"/>
      </w:pPr>
      <w:r w:rsidRPr="0099765F">
        <w:t>Insert letter to PHA Director of Jurisdiction for the Project from the Applicant verifying this commitment at Tab 22.</w:t>
      </w:r>
    </w:p>
    <w:p w14:paraId="7AA48237" w14:textId="77777777" w:rsidR="003C365A" w:rsidRDefault="003C365A" w:rsidP="00681AED"/>
    <w:p w14:paraId="4F8C1738" w14:textId="43FBBCEE" w:rsidR="0099765F" w:rsidRPr="00681AED" w:rsidRDefault="0099765F" w:rsidP="00D62CDA">
      <w:pPr>
        <w:pStyle w:val="ListParagraph"/>
        <w:numPr>
          <w:ilvl w:val="0"/>
          <w:numId w:val="5"/>
        </w:numPr>
      </w:pPr>
      <w:r w:rsidRPr="00681AED">
        <w:t xml:space="preserve">Include a preference for Veterans in the Tenant Selection Criteria. </w:t>
      </w:r>
    </w:p>
    <w:p w14:paraId="4C63AC5D" w14:textId="2F8F6DD6" w:rsidR="0099765F" w:rsidRDefault="0099765F" w:rsidP="003C365A">
      <w:pPr>
        <w:ind w:left="720"/>
      </w:pPr>
      <w:r w:rsidRPr="0099765F">
        <w:t>Insert Veteran’s Preference form certifying that the Tenant Selection Criteria will include a preference for active duty, Honorably Discharged or retired US military Veterans at Tab 24.</w:t>
      </w:r>
    </w:p>
    <w:p w14:paraId="34E63E7B" w14:textId="77777777" w:rsidR="003C365A" w:rsidRPr="0099765F" w:rsidRDefault="003C365A" w:rsidP="003C365A"/>
    <w:p w14:paraId="26D850A4" w14:textId="3E870FBE" w:rsidR="0099765F" w:rsidRPr="00681AED" w:rsidRDefault="0099765F" w:rsidP="00D62CDA">
      <w:pPr>
        <w:pStyle w:val="ListParagraph"/>
        <w:numPr>
          <w:ilvl w:val="0"/>
          <w:numId w:val="5"/>
        </w:numPr>
      </w:pPr>
      <w:r w:rsidRPr="00681AED">
        <w:t>Must be at least Moderate Rehabilitation</w:t>
      </w:r>
      <w:r w:rsidR="003C365A">
        <w:t xml:space="preserve"> (if applicable)</w:t>
      </w:r>
    </w:p>
    <w:p w14:paraId="38266749" w14:textId="2B440ABC" w:rsidR="000C0CD9" w:rsidRDefault="0099765F" w:rsidP="003C365A">
      <w:pPr>
        <w:ind w:left="720"/>
      </w:pPr>
      <w:r w:rsidRPr="0099765F">
        <w:t>The level of rehabilitation (as applicable) must be at least a Moderate Rehabilitation as defined in the Glossary (Section XI</w:t>
      </w:r>
      <w:r w:rsidR="003C365A">
        <w:t>.</w:t>
      </w:r>
      <w:r w:rsidRPr="0099765F">
        <w:t xml:space="preserve"> of this QAP.)</w:t>
      </w:r>
    </w:p>
    <w:p w14:paraId="12C63496" w14:textId="32D75360" w:rsidR="00F05D6D" w:rsidRPr="00654F19" w:rsidRDefault="00F05D6D" w:rsidP="00654F19">
      <w:pPr>
        <w:pStyle w:val="Heading2"/>
      </w:pPr>
      <w:bookmarkStart w:id="22" w:name="_Toc203744910"/>
      <w:r w:rsidRPr="00654F19">
        <w:t>Underwriting</w:t>
      </w:r>
      <w:bookmarkEnd w:id="22"/>
    </w:p>
    <w:p w14:paraId="278A8EBE" w14:textId="64377148" w:rsidR="000D7368" w:rsidRPr="000D7368" w:rsidRDefault="000D7368" w:rsidP="000D7368">
      <w:r w:rsidRPr="000D7368">
        <w:t xml:space="preserve">4% </w:t>
      </w:r>
      <w:r w:rsidR="00DE7ED7">
        <w:t>p</w:t>
      </w:r>
      <w:r w:rsidRPr="000D7368">
        <w:t xml:space="preserve">rojects are subject to </w:t>
      </w:r>
      <w:r w:rsidR="0091063F">
        <w:t>Housing New Mexico</w:t>
      </w:r>
      <w:r w:rsidRPr="000D7368">
        <w:t xml:space="preserve">’s Universal Multifamily Initial Underwriting Supplement. </w:t>
      </w:r>
    </w:p>
    <w:p w14:paraId="0992C487" w14:textId="72B9259D" w:rsidR="000D7368" w:rsidRPr="00681AED" w:rsidRDefault="000D7368" w:rsidP="000D7368">
      <w:pPr>
        <w:rPr>
          <w:u w:val="single"/>
        </w:rPr>
      </w:pPr>
      <w:r w:rsidRPr="00681AED">
        <w:rPr>
          <w:u w:val="single"/>
        </w:rPr>
        <w:t xml:space="preserve">The following </w:t>
      </w:r>
      <w:r w:rsidRPr="00681AED">
        <w:rPr>
          <w:b/>
          <w:bCs/>
          <w:u w:val="single"/>
        </w:rPr>
        <w:t>do</w:t>
      </w:r>
      <w:r w:rsidR="00DE7ED7" w:rsidRPr="00681AED">
        <w:rPr>
          <w:b/>
          <w:bCs/>
          <w:u w:val="single"/>
        </w:rPr>
        <w:t>es</w:t>
      </w:r>
      <w:r w:rsidRPr="00681AED">
        <w:rPr>
          <w:b/>
          <w:bCs/>
          <w:u w:val="single"/>
        </w:rPr>
        <w:t xml:space="preserve"> not </w:t>
      </w:r>
      <w:r w:rsidRPr="00681AED">
        <w:rPr>
          <w:u w:val="single"/>
        </w:rPr>
        <w:t>apply to 4% Tax-Exempt Bond Projects:</w:t>
      </w:r>
    </w:p>
    <w:p w14:paraId="41E5A8DA" w14:textId="77777777" w:rsidR="00E12975" w:rsidRDefault="000D7368" w:rsidP="00D62CDA">
      <w:pPr>
        <w:pStyle w:val="ListParagraph"/>
        <w:numPr>
          <w:ilvl w:val="0"/>
          <w:numId w:val="9"/>
        </w:numPr>
      </w:pPr>
      <w:r w:rsidRPr="00681AED">
        <w:t xml:space="preserve">State Designated Basis Boost </w:t>
      </w:r>
      <w:r w:rsidRPr="000D7368">
        <w:t>in IRC Section 42(d)(5)(v)</w:t>
      </w:r>
    </w:p>
    <w:p w14:paraId="759C6C0C" w14:textId="7EDD4711" w:rsidR="00E12975" w:rsidRDefault="000D7368" w:rsidP="00D62CDA">
      <w:pPr>
        <w:pStyle w:val="ListParagraph"/>
        <w:numPr>
          <w:ilvl w:val="0"/>
          <w:numId w:val="9"/>
        </w:numPr>
      </w:pPr>
      <w:r w:rsidRPr="00E12975">
        <w:rPr>
          <w:b/>
          <w:bCs/>
        </w:rPr>
        <w:t xml:space="preserve">Carryover Allocations </w:t>
      </w:r>
      <w:r w:rsidRPr="000D7368">
        <w:t xml:space="preserve">are not issued for tax-exempt bond projects with 4% tax credits. The allocation is made upon </w:t>
      </w:r>
      <w:r w:rsidR="00DE7ED7" w:rsidRPr="000D7368">
        <w:t>the issuance</w:t>
      </w:r>
      <w:r w:rsidRPr="000D7368">
        <w:t xml:space="preserve"> of 8609s.</w:t>
      </w:r>
    </w:p>
    <w:p w14:paraId="405D503C" w14:textId="565FB96E" w:rsidR="000D7368" w:rsidRPr="000D7368" w:rsidRDefault="000D7368" w:rsidP="00D62CDA">
      <w:pPr>
        <w:pStyle w:val="ListParagraph"/>
        <w:numPr>
          <w:ilvl w:val="0"/>
          <w:numId w:val="9"/>
        </w:numPr>
      </w:pPr>
      <w:r w:rsidRPr="00681AED">
        <w:lastRenderedPageBreak/>
        <w:t xml:space="preserve">10% Test </w:t>
      </w:r>
    </w:p>
    <w:p w14:paraId="56DBF3D9" w14:textId="1736409F" w:rsidR="000D7368" w:rsidRPr="00681AED" w:rsidRDefault="000D7368" w:rsidP="000D7368">
      <w:pPr>
        <w:rPr>
          <w:u w:val="single"/>
        </w:rPr>
      </w:pPr>
      <w:r w:rsidRPr="00681AED">
        <w:rPr>
          <w:u w:val="single"/>
        </w:rPr>
        <w:t xml:space="preserve">The following </w:t>
      </w:r>
      <w:r w:rsidRPr="00681AED">
        <w:rPr>
          <w:b/>
          <w:bCs/>
          <w:u w:val="single"/>
        </w:rPr>
        <w:t>do</w:t>
      </w:r>
      <w:r w:rsidR="00DE7ED7">
        <w:rPr>
          <w:b/>
          <w:bCs/>
          <w:u w:val="single"/>
        </w:rPr>
        <w:t>es</w:t>
      </w:r>
      <w:r w:rsidRPr="00681AED">
        <w:rPr>
          <w:b/>
          <w:bCs/>
          <w:u w:val="single"/>
        </w:rPr>
        <w:t xml:space="preserve"> </w:t>
      </w:r>
      <w:r w:rsidRPr="00681AED">
        <w:rPr>
          <w:u w:val="single"/>
        </w:rPr>
        <w:t xml:space="preserve">apply to 4% Projects: </w:t>
      </w:r>
    </w:p>
    <w:p w14:paraId="4FC831BB" w14:textId="77777777" w:rsidR="00DE7ED7" w:rsidRDefault="000D7368" w:rsidP="00D62CDA">
      <w:pPr>
        <w:pStyle w:val="ListParagraph"/>
        <w:numPr>
          <w:ilvl w:val="0"/>
          <w:numId w:val="10"/>
        </w:numPr>
      </w:pPr>
      <w:r w:rsidRPr="00DE7ED7">
        <w:rPr>
          <w:b/>
          <w:bCs/>
        </w:rPr>
        <w:t xml:space="preserve">Maximum number of credits </w:t>
      </w:r>
      <w:r w:rsidRPr="000D7368">
        <w:t>limited to amount required for feasibility, but not otherwise capped.</w:t>
      </w:r>
    </w:p>
    <w:p w14:paraId="73D9D62C" w14:textId="77777777" w:rsidR="00DE7ED7" w:rsidRDefault="000D7368" w:rsidP="00D62CDA">
      <w:pPr>
        <w:pStyle w:val="ListParagraph"/>
        <w:numPr>
          <w:ilvl w:val="0"/>
          <w:numId w:val="10"/>
        </w:numPr>
      </w:pPr>
      <w:r w:rsidRPr="00DE7ED7">
        <w:rPr>
          <w:b/>
          <w:bCs/>
        </w:rPr>
        <w:t xml:space="preserve">Basis Boost for Qualified Census Tract (QCT) or HUD-designated Difficult Development Area (DDA) </w:t>
      </w:r>
      <w:r w:rsidRPr="000D7368">
        <w:t>- Projects located in a HUD-designated Qualified Census Tract (QCT) or a HUD-designated Difficult Development Area (DDA) may be eligible for a 30% basis increase (basis boost). Documentation of this status must be included in the Application. In no case will a Project’s Eligible Basis attributable to the acquisition of an existing building be increased. (</w:t>
      </w:r>
      <w:r w:rsidRPr="00DE7ED7">
        <w:rPr>
          <w:i/>
          <w:iCs/>
        </w:rPr>
        <w:t xml:space="preserve">See </w:t>
      </w:r>
      <w:r w:rsidRPr="000D7368">
        <w:t>Sections IV.E.5. and IV.E.6 for further information.)</w:t>
      </w:r>
    </w:p>
    <w:p w14:paraId="66C9992C" w14:textId="2B20D1AC" w:rsidR="00DE7ED7" w:rsidRDefault="000D7368" w:rsidP="00D62CDA">
      <w:pPr>
        <w:pStyle w:val="ListParagraph"/>
        <w:numPr>
          <w:ilvl w:val="0"/>
          <w:numId w:val="10"/>
        </w:numPr>
      </w:pPr>
      <w:r w:rsidRPr="00DE7ED7">
        <w:rPr>
          <w:b/>
          <w:bCs/>
        </w:rPr>
        <w:t xml:space="preserve">Cost Limits </w:t>
      </w:r>
      <w:r w:rsidRPr="000D7368">
        <w:t xml:space="preserve">– The Construction Cost Limits provided in Section IV.C.2 apply to all Projects, including 4% Projects. However, applicants should note that the definition of Total Development Cost in the Glossary excludes the costs of issuance on line 65 of the Schedule A development budget. • </w:t>
      </w:r>
      <w:r w:rsidRPr="00DE7ED7">
        <w:rPr>
          <w:b/>
          <w:bCs/>
        </w:rPr>
        <w:t xml:space="preserve">4% Floor </w:t>
      </w:r>
      <w:r w:rsidRPr="000D7368">
        <w:t xml:space="preserve">- The Consolidated Appropriations Act of 2021, passed by Congress on December 21, 2020, permanently fixed the floor of the 4% credit at 4%. The amount of the annual tax credit is calculated to yield a present value of 30% (in the case of 4% credits) of Qualified Basis, as adjusted by </w:t>
      </w:r>
      <w:r w:rsidR="0091063F">
        <w:t>Housing New Mexico</w:t>
      </w:r>
      <w:r w:rsidRPr="000D7368">
        <w:t>.</w:t>
      </w:r>
    </w:p>
    <w:p w14:paraId="2295EE0F" w14:textId="77777777" w:rsidR="00DE7ED7" w:rsidRDefault="000D7368" w:rsidP="00D62CDA">
      <w:pPr>
        <w:pStyle w:val="ListParagraph"/>
        <w:numPr>
          <w:ilvl w:val="0"/>
          <w:numId w:val="10"/>
        </w:numPr>
      </w:pPr>
      <w:r w:rsidRPr="00DE7ED7">
        <w:rPr>
          <w:b/>
          <w:bCs/>
        </w:rPr>
        <w:t>Rehabilitation of an existing building</w:t>
      </w:r>
      <w:r w:rsidRPr="000D7368">
        <w:t>. To qualify for tax credits under the Code, rehabilitation expenditures includable in Qualified Basis must exceed the greater of 1) at least 20% of the Qualified Basis of the building being rehabilitated or 2) at least $8,300 per low-income Unit being rehabilitated, as adjusted annually by the IRS. Projects financed with tax-exempt bonds are eligible for 4% credits only.</w:t>
      </w:r>
    </w:p>
    <w:p w14:paraId="016F0E85" w14:textId="77777777" w:rsidR="00DE7ED7" w:rsidRDefault="00DE7ED7" w:rsidP="00D62CDA">
      <w:pPr>
        <w:pStyle w:val="ListParagraph"/>
        <w:numPr>
          <w:ilvl w:val="0"/>
          <w:numId w:val="10"/>
        </w:numPr>
      </w:pPr>
      <w:r>
        <w:rPr>
          <w:b/>
          <w:bCs/>
        </w:rPr>
        <w:t>A</w:t>
      </w:r>
      <w:r w:rsidR="000D7368" w:rsidRPr="00DE7ED7">
        <w:rPr>
          <w:b/>
          <w:bCs/>
        </w:rPr>
        <w:t>cquisition/rehabilitation of an existing building</w:t>
      </w:r>
      <w:r w:rsidR="000D7368" w:rsidRPr="000D7368">
        <w:t>. The maximum Applicable Credit Percentage for acquisition of an existing building that will be subsequently rehabilitated is 4%. To qualify for tax credits for the acquisition, the Code requires that rehabilitation expenditures includable in the Qualified Basis must exceed the greater of 1) at least 20% of the Qualified Basis of the building being rehabilitated or 2) at least $8,300 per low-income Unit being rehabilitated, as updated by IRS Revenue Procedure annually. Projects financed with tax-exempt bonds are eligible for 4% credits only.</w:t>
      </w:r>
    </w:p>
    <w:p w14:paraId="6A24539C" w14:textId="77777777" w:rsidR="00DE7ED7" w:rsidRDefault="000D7368" w:rsidP="00D62CDA">
      <w:pPr>
        <w:pStyle w:val="ListParagraph"/>
        <w:numPr>
          <w:ilvl w:val="0"/>
          <w:numId w:val="10"/>
        </w:numPr>
      </w:pPr>
      <w:r w:rsidRPr="00DE7ED7">
        <w:rPr>
          <w:b/>
          <w:bCs/>
        </w:rPr>
        <w:t xml:space="preserve">Applications for 4% LIHTC Projects </w:t>
      </w:r>
      <w:r w:rsidRPr="000D7368">
        <w:t>must submit the final version of the displacement/relocation assistance plan, including a sample tenant letter, with the Initial Application.</w:t>
      </w:r>
    </w:p>
    <w:p w14:paraId="6CA727C5" w14:textId="77777777" w:rsidR="00DE7ED7" w:rsidRDefault="000D7368" w:rsidP="00D62CDA">
      <w:pPr>
        <w:pStyle w:val="ListParagraph"/>
        <w:numPr>
          <w:ilvl w:val="0"/>
          <w:numId w:val="10"/>
        </w:numPr>
      </w:pPr>
      <w:r w:rsidRPr="00DE7ED7">
        <w:rPr>
          <w:b/>
          <w:bCs/>
        </w:rPr>
        <w:t>Federal Grant financed Projects with reduction in Eligible Basis</w:t>
      </w:r>
      <w:r w:rsidRPr="000D7368">
        <w:t xml:space="preserve">. In the case of a Project financed with Federal Grants, whether a newly constructed or </w:t>
      </w:r>
      <w:r w:rsidRPr="000D7368">
        <w:lastRenderedPageBreak/>
        <w:t>rehabilitated building, the Project Owner shall exclude the amount of the Federal Grants from Eligible Basis.</w:t>
      </w:r>
    </w:p>
    <w:p w14:paraId="04C2F02F" w14:textId="0C88806F" w:rsidR="00DE7ED7" w:rsidRDefault="000D7368" w:rsidP="00D62CDA">
      <w:pPr>
        <w:pStyle w:val="ListParagraph"/>
        <w:numPr>
          <w:ilvl w:val="0"/>
          <w:numId w:val="10"/>
        </w:numPr>
      </w:pPr>
      <w:r w:rsidRPr="00DE7ED7">
        <w:rPr>
          <w:b/>
          <w:bCs/>
        </w:rPr>
        <w:t xml:space="preserve">Developer Fee </w:t>
      </w:r>
      <w:r w:rsidRPr="000D7368">
        <w:t>shall not exceed 14% of Total Development Cost (</w:t>
      </w:r>
      <w:r w:rsidRPr="00DE7ED7">
        <w:rPr>
          <w:i/>
          <w:iCs/>
        </w:rPr>
        <w:t xml:space="preserve">See </w:t>
      </w:r>
      <w:r w:rsidRPr="000D7368">
        <w:t xml:space="preserve">QAP Glossary and QAP Section IV.D.2 for further information.) The maximum developer fee is locked in at 8609 </w:t>
      </w:r>
      <w:r w:rsidR="00A15F31" w:rsidRPr="000D7368">
        <w:t>issuances</w:t>
      </w:r>
      <w:r w:rsidRPr="000D7368">
        <w:t xml:space="preserve"> for 4% </w:t>
      </w:r>
      <w:proofErr w:type="gramStart"/>
      <w:r w:rsidR="00A15F31">
        <w:t>p</w:t>
      </w:r>
      <w:r w:rsidRPr="000D7368">
        <w:t>rojects</w:t>
      </w:r>
      <w:proofErr w:type="gramEnd"/>
      <w:r w:rsidRPr="000D7368">
        <w:t>.</w:t>
      </w:r>
    </w:p>
    <w:p w14:paraId="2AB92EBC" w14:textId="77777777" w:rsidR="00DE7ED7" w:rsidRPr="00681AED" w:rsidRDefault="000D7368" w:rsidP="00D62CDA">
      <w:pPr>
        <w:pStyle w:val="ListParagraph"/>
        <w:numPr>
          <w:ilvl w:val="0"/>
          <w:numId w:val="10"/>
        </w:numPr>
      </w:pPr>
      <w:r w:rsidRPr="00681AED">
        <w:t>Bond Cap request may not exceed 60% of the Total Development Cost.</w:t>
      </w:r>
    </w:p>
    <w:p w14:paraId="778716C0" w14:textId="77777777" w:rsidR="00DE7ED7" w:rsidRDefault="000D7368" w:rsidP="00D62CDA">
      <w:pPr>
        <w:pStyle w:val="ListParagraph"/>
        <w:numPr>
          <w:ilvl w:val="0"/>
          <w:numId w:val="10"/>
        </w:numPr>
      </w:pPr>
      <w:r w:rsidRPr="00DE7ED7">
        <w:rPr>
          <w:b/>
          <w:bCs/>
        </w:rPr>
        <w:t>Section 811</w:t>
      </w:r>
      <w:r w:rsidRPr="000D7368">
        <w:t>. 4% Projects looking to participate in the 811 PRA program are welcome to apply with the expectation of availability, however they are not eligible for the 5% boost to the capped developer fee.</w:t>
      </w:r>
    </w:p>
    <w:p w14:paraId="7173DF3D" w14:textId="77777777" w:rsidR="00DE7ED7" w:rsidRDefault="000D7368" w:rsidP="00D62CDA">
      <w:pPr>
        <w:pStyle w:val="ListParagraph"/>
        <w:numPr>
          <w:ilvl w:val="0"/>
          <w:numId w:val="10"/>
        </w:numPr>
      </w:pPr>
      <w:r w:rsidRPr="00DE7ED7">
        <w:rPr>
          <w:b/>
          <w:bCs/>
        </w:rPr>
        <w:t>Equity Pricing</w:t>
      </w:r>
      <w:r w:rsidRPr="000D7368">
        <w:t>. For 4% credits the equity-pricing factor to be used at Final Allocation will be the actual equity-pricing factor contained in the Project’s syndication agreement and the Applicable credit percentages, if rates ever exceed 4%, are determined at either the month the tax-exempt obligations are issued or Placed in Service date.</w:t>
      </w:r>
    </w:p>
    <w:p w14:paraId="6EED1455" w14:textId="77777777" w:rsidR="00DE7ED7" w:rsidRDefault="000D7368" w:rsidP="00D62CDA">
      <w:pPr>
        <w:pStyle w:val="ListParagraph"/>
        <w:numPr>
          <w:ilvl w:val="0"/>
          <w:numId w:val="10"/>
        </w:numPr>
      </w:pPr>
      <w:r w:rsidRPr="00DE7ED7">
        <w:rPr>
          <w:b/>
          <w:bCs/>
        </w:rPr>
        <w:t xml:space="preserve">Hybrid 9%/4% Developments. </w:t>
      </w:r>
      <w:r w:rsidRPr="000D7368">
        <w:t>QAP Section II.U includes information regarding hybrid Projects.</w:t>
      </w:r>
    </w:p>
    <w:p w14:paraId="11EC5445" w14:textId="70EEC4C5" w:rsidR="00DE7ED7" w:rsidRDefault="000D7368" w:rsidP="00D62CDA">
      <w:pPr>
        <w:pStyle w:val="ListParagraph"/>
        <w:numPr>
          <w:ilvl w:val="0"/>
          <w:numId w:val="10"/>
        </w:numPr>
      </w:pPr>
      <w:r w:rsidRPr="00DE7ED7">
        <w:rPr>
          <w:b/>
          <w:bCs/>
        </w:rPr>
        <w:t>Processing Fees</w:t>
      </w:r>
      <w:r w:rsidRPr="000D7368">
        <w:t xml:space="preserve">. Prior to the release of the Letter of Determination by </w:t>
      </w:r>
      <w:r w:rsidR="0091063F">
        <w:t>Housing New Mexico</w:t>
      </w:r>
      <w:r w:rsidRPr="000D7368">
        <w:t xml:space="preserve"> Staff, a processing fee of 8.5% of the approved annual credit will be due.</w:t>
      </w:r>
    </w:p>
    <w:p w14:paraId="7EAE150A" w14:textId="5243E671" w:rsidR="00F05D6D" w:rsidRPr="00F05D6D" w:rsidRDefault="000D7368" w:rsidP="00D62CDA">
      <w:pPr>
        <w:pStyle w:val="ListParagraph"/>
        <w:numPr>
          <w:ilvl w:val="0"/>
          <w:numId w:val="10"/>
        </w:numPr>
      </w:pPr>
      <w:r w:rsidRPr="00DE7ED7">
        <w:rPr>
          <w:b/>
          <w:bCs/>
        </w:rPr>
        <w:t>Average Income election</w:t>
      </w:r>
      <w:r w:rsidRPr="000D7368">
        <w:t>. Projects electing the Average Income election under Section 42(g)(1)(C) must meet the set-aside requirements of both Section 42 and Section 142 of the Code.</w:t>
      </w:r>
    </w:p>
    <w:sectPr w:rsidR="00F05D6D" w:rsidRPr="00F05D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705A38" w14:textId="77777777" w:rsidR="004F73C4" w:rsidRDefault="004F73C4" w:rsidP="00A34660">
      <w:pPr>
        <w:spacing w:after="0" w:line="240" w:lineRule="auto"/>
      </w:pPr>
      <w:r>
        <w:separator/>
      </w:r>
    </w:p>
  </w:endnote>
  <w:endnote w:type="continuationSeparator" w:id="0">
    <w:p w14:paraId="46E97BE2" w14:textId="77777777" w:rsidR="004F73C4" w:rsidRDefault="004F73C4" w:rsidP="00A346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charset w:val="00"/>
    <w:family w:val="swiss"/>
    <w:pitch w:val="variable"/>
    <w:sig w:usb0="E10002FF" w:usb1="5000ECFF" w:usb2="00000021" w:usb3="00000000" w:csb0="0000019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Lato Light">
    <w:charset w:val="00"/>
    <w:family w:val="swiss"/>
    <w:pitch w:val="variable"/>
    <w:sig w:usb0="E10002FF" w:usb1="5000ECF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85FFF5" w14:textId="77777777" w:rsidR="004F73C4" w:rsidRDefault="004F73C4" w:rsidP="00A34660">
      <w:pPr>
        <w:spacing w:after="0" w:line="240" w:lineRule="auto"/>
      </w:pPr>
      <w:r>
        <w:separator/>
      </w:r>
    </w:p>
  </w:footnote>
  <w:footnote w:type="continuationSeparator" w:id="0">
    <w:p w14:paraId="508A433A" w14:textId="77777777" w:rsidR="004F73C4" w:rsidRDefault="004F73C4" w:rsidP="00A34660">
      <w:pPr>
        <w:spacing w:after="0" w:line="240" w:lineRule="auto"/>
      </w:pPr>
      <w:r>
        <w:continuationSeparator/>
      </w:r>
    </w:p>
  </w:footnote>
  <w:footnote w:id="1">
    <w:p w14:paraId="08199C67" w14:textId="73A81C03" w:rsidR="00A43710" w:rsidRDefault="00A43710" w:rsidP="00A43710">
      <w:pPr>
        <w:pStyle w:val="FootnoteText"/>
      </w:pPr>
      <w:r w:rsidRPr="00A43710">
        <w:t>*</w:t>
      </w:r>
      <w:r>
        <w:t xml:space="preserve"> The Qualified Allocation Plan (QAP) can be found at </w:t>
      </w:r>
      <w:hyperlink r:id="rId1" w:history="1">
        <w:r w:rsidRPr="004103A6">
          <w:rPr>
            <w:rStyle w:val="Hyperlink"/>
          </w:rPr>
          <w:t>https://housingnm.org/developers/lihtc/qaps</w:t>
        </w:r>
      </w:hyperlink>
    </w:p>
    <w:p w14:paraId="5117F4FD" w14:textId="51A6D3D6" w:rsidR="00A43710" w:rsidRDefault="00AA29CE">
      <w:pPr>
        <w:pStyle w:val="FootnoteText"/>
      </w:pPr>
      <w:r>
        <w:rPr>
          <w:rStyle w:val="FootnoteReference"/>
        </w:rPr>
        <w:footnoteRef/>
      </w:r>
      <w:r>
        <w:t xml:space="preserve"> Monthly meeting agenda and request deadline can be found at </w:t>
      </w:r>
      <w:hyperlink r:id="rId2" w:history="1">
        <w:r w:rsidRPr="004103A6">
          <w:rPr>
            <w:rStyle w:val="Hyperlink"/>
          </w:rPr>
          <w:t>https://www.nmdfa.state.nm.us/board-of-finance/monthly-meetings/</w:t>
        </w:r>
      </w:hyperlink>
    </w:p>
  </w:footnote>
  <w:footnote w:id="2">
    <w:p w14:paraId="1C67E0EA" w14:textId="6CFD8632" w:rsidR="00A43710" w:rsidRDefault="00A43710">
      <w:pPr>
        <w:pStyle w:val="FootnoteText"/>
      </w:pPr>
      <w:r w:rsidRPr="00A43710">
        <w:t>*</w:t>
      </w:r>
      <w:r>
        <w:t xml:space="preserve"> The Qualified Allocation Plan (QAP) can be found at </w:t>
      </w:r>
      <w:hyperlink r:id="rId3" w:history="1">
        <w:r w:rsidRPr="004103A6">
          <w:rPr>
            <w:rStyle w:val="Hyperlink"/>
          </w:rPr>
          <w:t>https://housingnm.org/developers/lihtc/qaps</w:t>
        </w:r>
      </w:hyperlink>
    </w:p>
    <w:p w14:paraId="2C2FA51D" w14:textId="1DC4A7D9" w:rsidR="00AA29CE" w:rsidRDefault="00AA29CE">
      <w:pPr>
        <w:pStyle w:val="FootnoteText"/>
      </w:pPr>
      <w:r>
        <w:rPr>
          <w:rStyle w:val="FootnoteReference"/>
        </w:rPr>
        <w:footnoteRef/>
      </w:r>
      <w:r>
        <w:t xml:space="preserve"> Expires within six months of issuance</w:t>
      </w:r>
    </w:p>
  </w:footnote>
  <w:footnote w:id="3">
    <w:p w14:paraId="5E39F665" w14:textId="16866C30" w:rsidR="00AA29CE" w:rsidRDefault="00AA29CE">
      <w:pPr>
        <w:pStyle w:val="FootnoteText"/>
      </w:pPr>
      <w:r>
        <w:rPr>
          <w:rStyle w:val="FootnoteReference"/>
        </w:rPr>
        <w:footnoteRef/>
      </w:r>
      <w:r>
        <w:t xml:space="preserve"> </w:t>
      </w:r>
      <w:r w:rsidR="0091063F">
        <w:t>Housing New Mexico</w:t>
      </w:r>
      <w:r>
        <w:t xml:space="preserve"> requires this fee upon submission of Developer application, also detailed in section “Fees and Expenses”. Detail for fees can be found at </w:t>
      </w:r>
      <w:hyperlink r:id="rId4" w:history="1">
        <w:r w:rsidRPr="004103A6">
          <w:rPr>
            <w:rStyle w:val="Hyperlink"/>
          </w:rPr>
          <w:t>https://www.nmdfa.state.nm.us/board-of-finance/monthly-meetings/submission-requirements/</w:t>
        </w:r>
      </w:hyperlink>
      <w:r>
        <w:t>.</w:t>
      </w:r>
    </w:p>
  </w:footnote>
  <w:footnote w:id="4">
    <w:p w14:paraId="299D32E7" w14:textId="4D6656EE" w:rsidR="009432CF" w:rsidRDefault="009432CF">
      <w:pPr>
        <w:pStyle w:val="FootnoteText"/>
      </w:pPr>
      <w:r>
        <w:rPr>
          <w:rStyle w:val="FootnoteReference"/>
        </w:rPr>
        <w:footnoteRef/>
      </w:r>
      <w:r>
        <w:t xml:space="preserve"> See section “Fees and Expenses” for Cost-of-Issuance</w:t>
      </w:r>
    </w:p>
  </w:footnote>
  <w:footnote w:id="5">
    <w:p w14:paraId="4B88459C" w14:textId="0A1F57DC" w:rsidR="00AA29CE" w:rsidRDefault="00AA29CE">
      <w:pPr>
        <w:pStyle w:val="FootnoteText"/>
      </w:pPr>
      <w:r>
        <w:rPr>
          <w:rStyle w:val="FootnoteReference"/>
        </w:rPr>
        <w:footnoteRef/>
      </w:r>
      <w:r>
        <w:t xml:space="preserve"> </w:t>
      </w:r>
      <w:r w:rsidR="0091063F">
        <w:t>Housing New Mexico</w:t>
      </w:r>
      <w:r>
        <w:t xml:space="preserve"> offers a reputable financial advisor,</w:t>
      </w:r>
      <w:r w:rsidR="009432CF">
        <w:t xml:space="preserve"> if desired,</w:t>
      </w:r>
      <w:r>
        <w:t xml:space="preserve"> to initiate and lead all interests towards closing</w:t>
      </w:r>
    </w:p>
  </w:footnote>
  <w:footnote w:id="6">
    <w:p w14:paraId="16435C1F" w14:textId="0F6E537B" w:rsidR="00C66241" w:rsidRDefault="00C66241" w:rsidP="00C66241">
      <w:pPr>
        <w:pStyle w:val="FootnoteText"/>
      </w:pPr>
      <w:r>
        <w:t>** Non-refundable, even if project becomes unsuccessful</w:t>
      </w:r>
    </w:p>
    <w:p w14:paraId="1285FC5A" w14:textId="581677C9" w:rsidR="003C25FB" w:rsidRDefault="003C25FB" w:rsidP="00C66241">
      <w:pPr>
        <w:pStyle w:val="FootnoteText"/>
      </w:pPr>
      <w:r>
        <w:rPr>
          <w:rStyle w:val="FootnoteReference"/>
        </w:rPr>
        <w:footnoteRef/>
      </w:r>
      <w:r>
        <w:t xml:space="preserve"> </w:t>
      </w:r>
      <w:r w:rsidR="00C66241" w:rsidRPr="003C25FB">
        <w:t>Direct cost deposit due at submission of application in the amount of twenty percent (20%) of Financing Team’s fee schedule. This will be credited back to the Developer in the final closing invoice</w:t>
      </w:r>
      <w:r w:rsidR="00C66241">
        <w:t xml:space="preserve"> </w:t>
      </w:r>
      <w:r w:rsidR="00C66241" w:rsidRPr="003C25FB">
        <w:t>(The Developer will be responsible for the full payment of fees to the Financing Team, not excluding the 20% deposit)</w:t>
      </w:r>
    </w:p>
  </w:footnote>
  <w:footnote w:id="7">
    <w:p w14:paraId="0318DB23" w14:textId="4DF298C2" w:rsidR="00C66241" w:rsidRDefault="003C25FB" w:rsidP="00C66241">
      <w:pPr>
        <w:pStyle w:val="FootnoteText"/>
      </w:pPr>
      <w:r>
        <w:rPr>
          <w:rStyle w:val="FootnoteReference"/>
        </w:rPr>
        <w:footnoteRef/>
      </w:r>
      <w:r>
        <w:t xml:space="preserve"> </w:t>
      </w:r>
      <w:r w:rsidR="0091063F">
        <w:t>Housing New Mexico</w:t>
      </w:r>
      <w:r w:rsidR="00C66241">
        <w:t xml:space="preserve"> Administrative Fee:</w:t>
      </w:r>
    </w:p>
    <w:p w14:paraId="5AA22342" w14:textId="56DF0974" w:rsidR="00C66241" w:rsidRDefault="00C66241" w:rsidP="00C66241">
      <w:pPr>
        <w:pStyle w:val="FootnoteText"/>
        <w:numPr>
          <w:ilvl w:val="0"/>
          <w:numId w:val="21"/>
        </w:numPr>
      </w:pPr>
      <w:r>
        <w:t xml:space="preserve">Bond issues that include long-term maturity will have an administrative fee of fifteen basis points (0.15%) paid annually in advance; based on the original bond issuance amount (not declining). If bonds are fully prepaid within 15 years of closing, the borrower pays </w:t>
      </w:r>
      <w:r w:rsidR="0091063F">
        <w:t>Housing New Mexico</w:t>
      </w:r>
      <w:r>
        <w:t xml:space="preserve"> the present value (discounted at the bond yield) of the fees that would otherwise have been paid if the bonds had remained outstanding in Year 15.</w:t>
      </w:r>
    </w:p>
    <w:p w14:paraId="335C7A1A" w14:textId="13BD2787" w:rsidR="003C25FB" w:rsidRDefault="00C66241" w:rsidP="002D2A46">
      <w:pPr>
        <w:pStyle w:val="FootnoteText"/>
        <w:numPr>
          <w:ilvl w:val="0"/>
          <w:numId w:val="21"/>
        </w:numPr>
      </w:pPr>
      <w:r>
        <w:t>Bond issues that are fully redeemed after stabilization (short-term) will have an administrative fee of twenty basis points (0.20%), due in advance at time of closing.</w:t>
      </w:r>
    </w:p>
  </w:footnote>
  <w:footnote w:id="8">
    <w:p w14:paraId="1542182A" w14:textId="308A0291" w:rsidR="003C25FB" w:rsidRDefault="003C25FB">
      <w:pPr>
        <w:pStyle w:val="FootnoteText"/>
      </w:pPr>
      <w:r>
        <w:rPr>
          <w:rStyle w:val="FootnoteReference"/>
        </w:rPr>
        <w:footnoteRef/>
      </w:r>
      <w:r>
        <w:t xml:space="preserve"> </w:t>
      </w:r>
      <w:r w:rsidR="00C66241" w:rsidRPr="00C66241">
        <w:t>If a transfer of ownership or substitution of credit enhancement occurs, a transfer fee of $2,500, plus direct cost reimbursement, is due at submission of request.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4A70A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345D2B"/>
    <w:multiLevelType w:val="hybridMultilevel"/>
    <w:tmpl w:val="0E705BD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3DD65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EE04DE"/>
    <w:multiLevelType w:val="hybridMultilevel"/>
    <w:tmpl w:val="AECE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0D3DC9"/>
    <w:multiLevelType w:val="multilevel"/>
    <w:tmpl w:val="D15EAD4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3E096E"/>
    <w:multiLevelType w:val="multilevel"/>
    <w:tmpl w:val="6704650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ascii="Lato" w:eastAsiaTheme="minorHAnsi" w:hAnsi="Lato" w:cstheme="minorBidi"/>
        <w:sz w:val="20"/>
      </w:r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7E31A8B"/>
    <w:multiLevelType w:val="hybridMultilevel"/>
    <w:tmpl w:val="0AA0E89E"/>
    <w:lvl w:ilvl="0" w:tplc="F904BC6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74852"/>
    <w:multiLevelType w:val="hybridMultilevel"/>
    <w:tmpl w:val="43F80AA4"/>
    <w:lvl w:ilvl="0" w:tplc="8256B7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09178B"/>
    <w:multiLevelType w:val="multilevel"/>
    <w:tmpl w:val="AC608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5466FE"/>
    <w:multiLevelType w:val="hybridMultilevel"/>
    <w:tmpl w:val="D2383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FF5F60"/>
    <w:multiLevelType w:val="hybridMultilevel"/>
    <w:tmpl w:val="415CDF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DEA2E5F"/>
    <w:multiLevelType w:val="hybridMultilevel"/>
    <w:tmpl w:val="19FEA81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403159B"/>
    <w:multiLevelType w:val="hybridMultilevel"/>
    <w:tmpl w:val="01BCFE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181824"/>
    <w:multiLevelType w:val="multilevel"/>
    <w:tmpl w:val="A7724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1814389"/>
    <w:multiLevelType w:val="multilevel"/>
    <w:tmpl w:val="410CB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4756DAD"/>
    <w:multiLevelType w:val="hybridMultilevel"/>
    <w:tmpl w:val="4EC2CB9A"/>
    <w:lvl w:ilvl="0" w:tplc="A2343B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1B33FA"/>
    <w:multiLevelType w:val="hybridMultilevel"/>
    <w:tmpl w:val="1BFAB9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8815B7"/>
    <w:multiLevelType w:val="hybridMultilevel"/>
    <w:tmpl w:val="D4BA5B46"/>
    <w:lvl w:ilvl="0" w:tplc="A2343B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D20A4"/>
    <w:multiLevelType w:val="multilevel"/>
    <w:tmpl w:val="FCE801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31C760F"/>
    <w:multiLevelType w:val="hybridMultilevel"/>
    <w:tmpl w:val="DF2C4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7E597829"/>
    <w:multiLevelType w:val="hybridMultilevel"/>
    <w:tmpl w:val="284E8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64271781">
    <w:abstractNumId w:val="13"/>
  </w:num>
  <w:num w:numId="2" w16cid:durableId="529032463">
    <w:abstractNumId w:val="4"/>
  </w:num>
  <w:num w:numId="3" w16cid:durableId="368603254">
    <w:abstractNumId w:val="10"/>
  </w:num>
  <w:num w:numId="4" w16cid:durableId="1930231930">
    <w:abstractNumId w:val="3"/>
  </w:num>
  <w:num w:numId="5" w16cid:durableId="636298627">
    <w:abstractNumId w:val="16"/>
  </w:num>
  <w:num w:numId="6" w16cid:durableId="778532018">
    <w:abstractNumId w:val="11"/>
  </w:num>
  <w:num w:numId="7" w16cid:durableId="1128936394">
    <w:abstractNumId w:val="1"/>
  </w:num>
  <w:num w:numId="8" w16cid:durableId="1804880352">
    <w:abstractNumId w:val="19"/>
  </w:num>
  <w:num w:numId="9" w16cid:durableId="1516263026">
    <w:abstractNumId w:val="9"/>
  </w:num>
  <w:num w:numId="10" w16cid:durableId="1596984496">
    <w:abstractNumId w:val="20"/>
  </w:num>
  <w:num w:numId="11" w16cid:durableId="1929773197">
    <w:abstractNumId w:val="18"/>
  </w:num>
  <w:num w:numId="12" w16cid:durableId="964384913">
    <w:abstractNumId w:val="2"/>
  </w:num>
  <w:num w:numId="13" w16cid:durableId="355694059">
    <w:abstractNumId w:val="5"/>
  </w:num>
  <w:num w:numId="14" w16cid:durableId="278338632">
    <w:abstractNumId w:val="12"/>
  </w:num>
  <w:num w:numId="15" w16cid:durableId="1503005210">
    <w:abstractNumId w:val="8"/>
  </w:num>
  <w:num w:numId="16" w16cid:durableId="1973518071">
    <w:abstractNumId w:val="14"/>
  </w:num>
  <w:num w:numId="17" w16cid:durableId="1895117658">
    <w:abstractNumId w:val="0"/>
  </w:num>
  <w:num w:numId="18" w16cid:durableId="736634771">
    <w:abstractNumId w:val="6"/>
  </w:num>
  <w:num w:numId="19" w16cid:durableId="42214203">
    <w:abstractNumId w:val="7"/>
  </w:num>
  <w:num w:numId="20" w16cid:durableId="989599016">
    <w:abstractNumId w:val="15"/>
  </w:num>
  <w:num w:numId="21" w16cid:durableId="20889193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2A"/>
    <w:rsid w:val="00012083"/>
    <w:rsid w:val="00024BFD"/>
    <w:rsid w:val="00043CF1"/>
    <w:rsid w:val="0004545E"/>
    <w:rsid w:val="00052D0B"/>
    <w:rsid w:val="00070A28"/>
    <w:rsid w:val="00091B5C"/>
    <w:rsid w:val="000A2D15"/>
    <w:rsid w:val="000B4B58"/>
    <w:rsid w:val="000B76F0"/>
    <w:rsid w:val="000C0CD9"/>
    <w:rsid w:val="000D7368"/>
    <w:rsid w:val="000E0C84"/>
    <w:rsid w:val="000F2739"/>
    <w:rsid w:val="000F2F6C"/>
    <w:rsid w:val="000F42F3"/>
    <w:rsid w:val="001052F0"/>
    <w:rsid w:val="00112818"/>
    <w:rsid w:val="00114E3E"/>
    <w:rsid w:val="00145E9D"/>
    <w:rsid w:val="00147A78"/>
    <w:rsid w:val="00151543"/>
    <w:rsid w:val="00180122"/>
    <w:rsid w:val="001809F4"/>
    <w:rsid w:val="00186CC2"/>
    <w:rsid w:val="00192997"/>
    <w:rsid w:val="001A3799"/>
    <w:rsid w:val="001B213B"/>
    <w:rsid w:val="001C2393"/>
    <w:rsid w:val="001D3478"/>
    <w:rsid w:val="001F0FD5"/>
    <w:rsid w:val="001F4F2C"/>
    <w:rsid w:val="0020272C"/>
    <w:rsid w:val="00213846"/>
    <w:rsid w:val="00213C03"/>
    <w:rsid w:val="00221B57"/>
    <w:rsid w:val="002324F9"/>
    <w:rsid w:val="0024451E"/>
    <w:rsid w:val="0025766D"/>
    <w:rsid w:val="00281359"/>
    <w:rsid w:val="002917FD"/>
    <w:rsid w:val="00292D40"/>
    <w:rsid w:val="002C13A1"/>
    <w:rsid w:val="002D007D"/>
    <w:rsid w:val="002D2A46"/>
    <w:rsid w:val="002F1487"/>
    <w:rsid w:val="00303BEF"/>
    <w:rsid w:val="00313692"/>
    <w:rsid w:val="00317D24"/>
    <w:rsid w:val="0032482A"/>
    <w:rsid w:val="00325D90"/>
    <w:rsid w:val="00333385"/>
    <w:rsid w:val="003465C8"/>
    <w:rsid w:val="003466E5"/>
    <w:rsid w:val="00347C77"/>
    <w:rsid w:val="0035160D"/>
    <w:rsid w:val="00356AB8"/>
    <w:rsid w:val="003609D6"/>
    <w:rsid w:val="00365718"/>
    <w:rsid w:val="0038720F"/>
    <w:rsid w:val="003B7811"/>
    <w:rsid w:val="003C25FB"/>
    <w:rsid w:val="003C365A"/>
    <w:rsid w:val="003D6C1F"/>
    <w:rsid w:val="003E0173"/>
    <w:rsid w:val="003F4249"/>
    <w:rsid w:val="003F7BA2"/>
    <w:rsid w:val="00400292"/>
    <w:rsid w:val="00431472"/>
    <w:rsid w:val="00432F92"/>
    <w:rsid w:val="00443A85"/>
    <w:rsid w:val="00444D0A"/>
    <w:rsid w:val="00467D7C"/>
    <w:rsid w:val="00471E64"/>
    <w:rsid w:val="00481819"/>
    <w:rsid w:val="004909F7"/>
    <w:rsid w:val="004A5795"/>
    <w:rsid w:val="004A6721"/>
    <w:rsid w:val="004A7FB5"/>
    <w:rsid w:val="004B22C7"/>
    <w:rsid w:val="004B4900"/>
    <w:rsid w:val="004B4AD8"/>
    <w:rsid w:val="004E08AC"/>
    <w:rsid w:val="004E10AF"/>
    <w:rsid w:val="004E6995"/>
    <w:rsid w:val="004E7C36"/>
    <w:rsid w:val="004F50EE"/>
    <w:rsid w:val="004F5C13"/>
    <w:rsid w:val="004F73C4"/>
    <w:rsid w:val="0050389F"/>
    <w:rsid w:val="00521E6D"/>
    <w:rsid w:val="00526E54"/>
    <w:rsid w:val="00534007"/>
    <w:rsid w:val="00545FF2"/>
    <w:rsid w:val="00550C00"/>
    <w:rsid w:val="005834AE"/>
    <w:rsid w:val="0059529C"/>
    <w:rsid w:val="005B179E"/>
    <w:rsid w:val="005B2BF0"/>
    <w:rsid w:val="005B2EAF"/>
    <w:rsid w:val="005B7551"/>
    <w:rsid w:val="005D40C5"/>
    <w:rsid w:val="005D64CE"/>
    <w:rsid w:val="005D7803"/>
    <w:rsid w:val="005E3285"/>
    <w:rsid w:val="005E6D4A"/>
    <w:rsid w:val="005F7052"/>
    <w:rsid w:val="00605B3C"/>
    <w:rsid w:val="00611146"/>
    <w:rsid w:val="00614078"/>
    <w:rsid w:val="00637426"/>
    <w:rsid w:val="006413D6"/>
    <w:rsid w:val="0064729D"/>
    <w:rsid w:val="006532AA"/>
    <w:rsid w:val="00654F19"/>
    <w:rsid w:val="006569D2"/>
    <w:rsid w:val="0066162A"/>
    <w:rsid w:val="006626A6"/>
    <w:rsid w:val="006649AA"/>
    <w:rsid w:val="00681AED"/>
    <w:rsid w:val="006835DB"/>
    <w:rsid w:val="006861B3"/>
    <w:rsid w:val="006C45D4"/>
    <w:rsid w:val="006D53F0"/>
    <w:rsid w:val="006F0E81"/>
    <w:rsid w:val="007006EF"/>
    <w:rsid w:val="007143BF"/>
    <w:rsid w:val="00714464"/>
    <w:rsid w:val="00722BC0"/>
    <w:rsid w:val="007243E4"/>
    <w:rsid w:val="00724717"/>
    <w:rsid w:val="00727F5F"/>
    <w:rsid w:val="007354D2"/>
    <w:rsid w:val="00743B3F"/>
    <w:rsid w:val="00744C5E"/>
    <w:rsid w:val="00761A4E"/>
    <w:rsid w:val="00763D28"/>
    <w:rsid w:val="00773984"/>
    <w:rsid w:val="0079381D"/>
    <w:rsid w:val="007A3996"/>
    <w:rsid w:val="007A42C2"/>
    <w:rsid w:val="007C5CB6"/>
    <w:rsid w:val="007E10FC"/>
    <w:rsid w:val="007E1323"/>
    <w:rsid w:val="007E779B"/>
    <w:rsid w:val="007F3C94"/>
    <w:rsid w:val="008020B3"/>
    <w:rsid w:val="0083043A"/>
    <w:rsid w:val="00832C3F"/>
    <w:rsid w:val="008335FD"/>
    <w:rsid w:val="008616C1"/>
    <w:rsid w:val="0087259F"/>
    <w:rsid w:val="008A766B"/>
    <w:rsid w:val="008A7DC2"/>
    <w:rsid w:val="008B4A67"/>
    <w:rsid w:val="008C2A9F"/>
    <w:rsid w:val="008F2165"/>
    <w:rsid w:val="009038D7"/>
    <w:rsid w:val="009056B5"/>
    <w:rsid w:val="0091063F"/>
    <w:rsid w:val="0091212E"/>
    <w:rsid w:val="00915F74"/>
    <w:rsid w:val="009332BD"/>
    <w:rsid w:val="0093740D"/>
    <w:rsid w:val="009432CF"/>
    <w:rsid w:val="009664C0"/>
    <w:rsid w:val="0097208B"/>
    <w:rsid w:val="00973F16"/>
    <w:rsid w:val="00974C9D"/>
    <w:rsid w:val="00975A12"/>
    <w:rsid w:val="009817BC"/>
    <w:rsid w:val="0098547D"/>
    <w:rsid w:val="00986F1C"/>
    <w:rsid w:val="0099090F"/>
    <w:rsid w:val="0099765F"/>
    <w:rsid w:val="009B154F"/>
    <w:rsid w:val="009C166A"/>
    <w:rsid w:val="009D552F"/>
    <w:rsid w:val="009D5CA7"/>
    <w:rsid w:val="009F06C8"/>
    <w:rsid w:val="00A04BED"/>
    <w:rsid w:val="00A0555F"/>
    <w:rsid w:val="00A15F31"/>
    <w:rsid w:val="00A22FE2"/>
    <w:rsid w:val="00A23587"/>
    <w:rsid w:val="00A25B6F"/>
    <w:rsid w:val="00A34660"/>
    <w:rsid w:val="00A40DF7"/>
    <w:rsid w:val="00A43710"/>
    <w:rsid w:val="00A50782"/>
    <w:rsid w:val="00A70164"/>
    <w:rsid w:val="00A82D36"/>
    <w:rsid w:val="00A87F2C"/>
    <w:rsid w:val="00AA08A4"/>
    <w:rsid w:val="00AA29CE"/>
    <w:rsid w:val="00AA5080"/>
    <w:rsid w:val="00AA51C4"/>
    <w:rsid w:val="00AB136F"/>
    <w:rsid w:val="00AD2531"/>
    <w:rsid w:val="00B004D4"/>
    <w:rsid w:val="00B2360C"/>
    <w:rsid w:val="00B2776F"/>
    <w:rsid w:val="00B41587"/>
    <w:rsid w:val="00B428AF"/>
    <w:rsid w:val="00B46293"/>
    <w:rsid w:val="00B47476"/>
    <w:rsid w:val="00B551B1"/>
    <w:rsid w:val="00B56CE2"/>
    <w:rsid w:val="00B64D02"/>
    <w:rsid w:val="00B71A4D"/>
    <w:rsid w:val="00B75C03"/>
    <w:rsid w:val="00B82A3E"/>
    <w:rsid w:val="00B83107"/>
    <w:rsid w:val="00BB742F"/>
    <w:rsid w:val="00BC30DD"/>
    <w:rsid w:val="00BC4EC0"/>
    <w:rsid w:val="00BD40A6"/>
    <w:rsid w:val="00BE24D6"/>
    <w:rsid w:val="00BE693F"/>
    <w:rsid w:val="00BE7248"/>
    <w:rsid w:val="00BF0C9C"/>
    <w:rsid w:val="00BF5935"/>
    <w:rsid w:val="00C049D5"/>
    <w:rsid w:val="00C05AC0"/>
    <w:rsid w:val="00C11094"/>
    <w:rsid w:val="00C302A2"/>
    <w:rsid w:val="00C33335"/>
    <w:rsid w:val="00C41CA6"/>
    <w:rsid w:val="00C43414"/>
    <w:rsid w:val="00C57924"/>
    <w:rsid w:val="00C63029"/>
    <w:rsid w:val="00C66241"/>
    <w:rsid w:val="00C70422"/>
    <w:rsid w:val="00CA25AC"/>
    <w:rsid w:val="00CA2A94"/>
    <w:rsid w:val="00CA4F20"/>
    <w:rsid w:val="00CB2897"/>
    <w:rsid w:val="00CD3FDD"/>
    <w:rsid w:val="00CE3880"/>
    <w:rsid w:val="00CE6AAF"/>
    <w:rsid w:val="00CF4D87"/>
    <w:rsid w:val="00CF4E7E"/>
    <w:rsid w:val="00D03C3A"/>
    <w:rsid w:val="00D04C2F"/>
    <w:rsid w:val="00D04F64"/>
    <w:rsid w:val="00D20598"/>
    <w:rsid w:val="00D236F0"/>
    <w:rsid w:val="00D26F41"/>
    <w:rsid w:val="00D31969"/>
    <w:rsid w:val="00D34CE0"/>
    <w:rsid w:val="00D405B1"/>
    <w:rsid w:val="00D46A9F"/>
    <w:rsid w:val="00D46C04"/>
    <w:rsid w:val="00D57573"/>
    <w:rsid w:val="00D62CDA"/>
    <w:rsid w:val="00D65361"/>
    <w:rsid w:val="00D739DD"/>
    <w:rsid w:val="00D769F1"/>
    <w:rsid w:val="00D81CB3"/>
    <w:rsid w:val="00D84F0E"/>
    <w:rsid w:val="00DA2512"/>
    <w:rsid w:val="00DB0638"/>
    <w:rsid w:val="00DC0ABD"/>
    <w:rsid w:val="00DC2AA7"/>
    <w:rsid w:val="00DC2F17"/>
    <w:rsid w:val="00DE7ED7"/>
    <w:rsid w:val="00E042A6"/>
    <w:rsid w:val="00E06D0D"/>
    <w:rsid w:val="00E12975"/>
    <w:rsid w:val="00E3695F"/>
    <w:rsid w:val="00E45D7C"/>
    <w:rsid w:val="00E549C6"/>
    <w:rsid w:val="00E57734"/>
    <w:rsid w:val="00E61DBA"/>
    <w:rsid w:val="00E628B1"/>
    <w:rsid w:val="00E65F22"/>
    <w:rsid w:val="00E700FC"/>
    <w:rsid w:val="00E83434"/>
    <w:rsid w:val="00E85E67"/>
    <w:rsid w:val="00E92571"/>
    <w:rsid w:val="00E964D9"/>
    <w:rsid w:val="00E9740F"/>
    <w:rsid w:val="00EA7B2C"/>
    <w:rsid w:val="00EB4924"/>
    <w:rsid w:val="00EC1E9E"/>
    <w:rsid w:val="00ED6E28"/>
    <w:rsid w:val="00EE5E06"/>
    <w:rsid w:val="00EF08E9"/>
    <w:rsid w:val="00EF22FB"/>
    <w:rsid w:val="00EF78D1"/>
    <w:rsid w:val="00F05D6D"/>
    <w:rsid w:val="00F074C3"/>
    <w:rsid w:val="00F12804"/>
    <w:rsid w:val="00F155D1"/>
    <w:rsid w:val="00F2094D"/>
    <w:rsid w:val="00F21631"/>
    <w:rsid w:val="00F30B7E"/>
    <w:rsid w:val="00F3137A"/>
    <w:rsid w:val="00F35AAB"/>
    <w:rsid w:val="00F4339E"/>
    <w:rsid w:val="00F44721"/>
    <w:rsid w:val="00F56735"/>
    <w:rsid w:val="00F579FF"/>
    <w:rsid w:val="00F616A1"/>
    <w:rsid w:val="00F751AA"/>
    <w:rsid w:val="00FA1676"/>
    <w:rsid w:val="00FA520C"/>
    <w:rsid w:val="00FA7F01"/>
    <w:rsid w:val="00FB625D"/>
    <w:rsid w:val="00FC3FE4"/>
    <w:rsid w:val="00FC6B18"/>
    <w:rsid w:val="00FD3B5B"/>
    <w:rsid w:val="00FE1F80"/>
    <w:rsid w:val="00FE5D13"/>
    <w:rsid w:val="00FF2E96"/>
    <w:rsid w:val="00FF3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88ABA6"/>
  <w15:chartTrackingRefBased/>
  <w15:docId w15:val="{A2E3AAA6-B389-4026-94D6-DD30DCC47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72C"/>
    <w:rPr>
      <w:rFonts w:ascii="Lato" w:hAnsi="Lato"/>
    </w:rPr>
  </w:style>
  <w:style w:type="paragraph" w:styleId="Heading1">
    <w:name w:val="heading 1"/>
    <w:basedOn w:val="Normal"/>
    <w:next w:val="Normal"/>
    <w:link w:val="Heading1Char"/>
    <w:uiPriority w:val="9"/>
    <w:qFormat/>
    <w:rsid w:val="00C57924"/>
    <w:pPr>
      <w:keepNext/>
      <w:keepLines/>
      <w:spacing w:before="360" w:after="80"/>
      <w:outlineLvl w:val="0"/>
    </w:pPr>
    <w:rPr>
      <w:rFonts w:asciiTheme="majorHAnsi" w:eastAsiaTheme="majorEastAsia" w:hAnsiTheme="majorHAnsi" w:cstheme="majorBidi"/>
      <w:sz w:val="40"/>
      <w:szCs w:val="40"/>
    </w:rPr>
  </w:style>
  <w:style w:type="paragraph" w:styleId="Heading2">
    <w:name w:val="heading 2"/>
    <w:basedOn w:val="Normal"/>
    <w:next w:val="Normal"/>
    <w:link w:val="Heading2Char"/>
    <w:autoRedefine/>
    <w:uiPriority w:val="9"/>
    <w:unhideWhenUsed/>
    <w:qFormat/>
    <w:rsid w:val="00654F19"/>
    <w:pPr>
      <w:keepNext/>
      <w:keepLines/>
      <w:spacing w:before="360" w:after="120"/>
      <w:outlineLvl w:val="1"/>
    </w:pPr>
    <w:rPr>
      <w:rFonts w:eastAsiaTheme="majorEastAsia" w:cstheme="majorBidi"/>
      <w:color w:val="008381"/>
      <w:sz w:val="32"/>
      <w:szCs w:val="32"/>
    </w:rPr>
  </w:style>
  <w:style w:type="paragraph" w:styleId="Heading3">
    <w:name w:val="heading 3"/>
    <w:basedOn w:val="Normal"/>
    <w:next w:val="Normal"/>
    <w:link w:val="Heading3Char"/>
    <w:uiPriority w:val="9"/>
    <w:semiHidden/>
    <w:unhideWhenUsed/>
    <w:qFormat/>
    <w:rsid w:val="003248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248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248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248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8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8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8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7924"/>
    <w:rPr>
      <w:rFonts w:asciiTheme="majorHAnsi" w:eastAsiaTheme="majorEastAsia" w:hAnsiTheme="majorHAnsi" w:cstheme="majorBidi"/>
      <w:sz w:val="40"/>
      <w:szCs w:val="40"/>
    </w:rPr>
  </w:style>
  <w:style w:type="character" w:customStyle="1" w:styleId="Heading2Char">
    <w:name w:val="Heading 2 Char"/>
    <w:basedOn w:val="DefaultParagraphFont"/>
    <w:link w:val="Heading2"/>
    <w:uiPriority w:val="9"/>
    <w:rsid w:val="00654F19"/>
    <w:rPr>
      <w:rFonts w:ascii="Lato" w:eastAsiaTheme="majorEastAsia" w:hAnsi="Lato" w:cstheme="majorBidi"/>
      <w:color w:val="008381"/>
      <w:sz w:val="32"/>
      <w:szCs w:val="32"/>
    </w:rPr>
  </w:style>
  <w:style w:type="character" w:customStyle="1" w:styleId="Heading3Char">
    <w:name w:val="Heading 3 Char"/>
    <w:basedOn w:val="DefaultParagraphFont"/>
    <w:link w:val="Heading3"/>
    <w:uiPriority w:val="9"/>
    <w:semiHidden/>
    <w:rsid w:val="003248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248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248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248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8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8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82A"/>
    <w:rPr>
      <w:rFonts w:eastAsiaTheme="majorEastAsia" w:cstheme="majorBidi"/>
      <w:color w:val="272727" w:themeColor="text1" w:themeTint="D8"/>
    </w:rPr>
  </w:style>
  <w:style w:type="paragraph" w:styleId="Title">
    <w:name w:val="Title"/>
    <w:basedOn w:val="Normal"/>
    <w:next w:val="Normal"/>
    <w:link w:val="TitleChar"/>
    <w:uiPriority w:val="10"/>
    <w:qFormat/>
    <w:rsid w:val="004B22C7"/>
    <w:pPr>
      <w:spacing w:after="80" w:line="240" w:lineRule="auto"/>
      <w:contextualSpacing/>
    </w:pPr>
    <w:rPr>
      <w:rFonts w:ascii="Lato Light" w:eastAsiaTheme="majorEastAsia" w:hAnsi="Lato Light" w:cstheme="majorBidi"/>
      <w:color w:val="00918F"/>
      <w:spacing w:val="-10"/>
      <w:kern w:val="28"/>
      <w:sz w:val="56"/>
      <w:szCs w:val="56"/>
    </w:rPr>
  </w:style>
  <w:style w:type="character" w:customStyle="1" w:styleId="TitleChar">
    <w:name w:val="Title Char"/>
    <w:basedOn w:val="DefaultParagraphFont"/>
    <w:link w:val="Title"/>
    <w:uiPriority w:val="10"/>
    <w:rsid w:val="004B22C7"/>
    <w:rPr>
      <w:rFonts w:ascii="Lato Light" w:eastAsiaTheme="majorEastAsia" w:hAnsi="Lato Light" w:cstheme="majorBidi"/>
      <w:color w:val="00918F"/>
      <w:spacing w:val="-10"/>
      <w:kern w:val="28"/>
      <w:sz w:val="56"/>
      <w:szCs w:val="56"/>
    </w:rPr>
  </w:style>
  <w:style w:type="paragraph" w:styleId="Subtitle">
    <w:name w:val="Subtitle"/>
    <w:basedOn w:val="Normal"/>
    <w:next w:val="Normal"/>
    <w:link w:val="SubtitleChar"/>
    <w:uiPriority w:val="11"/>
    <w:qFormat/>
    <w:rsid w:val="003248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8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82A"/>
    <w:pPr>
      <w:spacing w:before="160"/>
      <w:jc w:val="center"/>
    </w:pPr>
    <w:rPr>
      <w:i/>
      <w:iCs/>
      <w:color w:val="404040" w:themeColor="text1" w:themeTint="BF"/>
    </w:rPr>
  </w:style>
  <w:style w:type="character" w:customStyle="1" w:styleId="QuoteChar">
    <w:name w:val="Quote Char"/>
    <w:basedOn w:val="DefaultParagraphFont"/>
    <w:link w:val="Quote"/>
    <w:uiPriority w:val="29"/>
    <w:rsid w:val="0032482A"/>
    <w:rPr>
      <w:i/>
      <w:iCs/>
      <w:color w:val="404040" w:themeColor="text1" w:themeTint="BF"/>
    </w:rPr>
  </w:style>
  <w:style w:type="paragraph" w:styleId="ListParagraph">
    <w:name w:val="List Paragraph"/>
    <w:basedOn w:val="ListBullet"/>
    <w:next w:val="ListBullet"/>
    <w:autoRedefine/>
    <w:uiPriority w:val="34"/>
    <w:qFormat/>
    <w:rsid w:val="00D62CDA"/>
    <w:pPr>
      <w:ind w:left="720"/>
    </w:pPr>
  </w:style>
  <w:style w:type="character" w:styleId="IntenseEmphasis">
    <w:name w:val="Intense Emphasis"/>
    <w:basedOn w:val="DefaultParagraphFont"/>
    <w:uiPriority w:val="21"/>
    <w:qFormat/>
    <w:rsid w:val="0032482A"/>
    <w:rPr>
      <w:i/>
      <w:iCs/>
      <w:color w:val="0F4761" w:themeColor="accent1" w:themeShade="BF"/>
    </w:rPr>
  </w:style>
  <w:style w:type="paragraph" w:styleId="IntenseQuote">
    <w:name w:val="Intense Quote"/>
    <w:basedOn w:val="Normal"/>
    <w:next w:val="Normal"/>
    <w:link w:val="IntenseQuoteChar"/>
    <w:uiPriority w:val="30"/>
    <w:qFormat/>
    <w:rsid w:val="003248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2482A"/>
    <w:rPr>
      <w:i/>
      <w:iCs/>
      <w:color w:val="0F4761" w:themeColor="accent1" w:themeShade="BF"/>
    </w:rPr>
  </w:style>
  <w:style w:type="character" w:styleId="IntenseReference">
    <w:name w:val="Intense Reference"/>
    <w:basedOn w:val="DefaultParagraphFont"/>
    <w:uiPriority w:val="32"/>
    <w:qFormat/>
    <w:rsid w:val="0032482A"/>
    <w:rPr>
      <w:b/>
      <w:bCs/>
      <w:smallCaps/>
      <w:color w:val="0F4761" w:themeColor="accent1" w:themeShade="BF"/>
      <w:spacing w:val="5"/>
    </w:rPr>
  </w:style>
  <w:style w:type="character" w:styleId="Hyperlink">
    <w:name w:val="Hyperlink"/>
    <w:basedOn w:val="DefaultParagraphFont"/>
    <w:uiPriority w:val="99"/>
    <w:unhideWhenUsed/>
    <w:rsid w:val="006569D2"/>
    <w:rPr>
      <w:color w:val="467886" w:themeColor="hyperlink"/>
      <w:u w:val="single"/>
    </w:rPr>
  </w:style>
  <w:style w:type="character" w:styleId="UnresolvedMention">
    <w:name w:val="Unresolved Mention"/>
    <w:basedOn w:val="DefaultParagraphFont"/>
    <w:uiPriority w:val="99"/>
    <w:semiHidden/>
    <w:unhideWhenUsed/>
    <w:rsid w:val="006569D2"/>
    <w:rPr>
      <w:color w:val="605E5C"/>
      <w:shd w:val="clear" w:color="auto" w:fill="E1DFDD"/>
    </w:rPr>
  </w:style>
  <w:style w:type="paragraph" w:styleId="Revision">
    <w:name w:val="Revision"/>
    <w:hidden/>
    <w:uiPriority w:val="99"/>
    <w:semiHidden/>
    <w:rsid w:val="00BE24D6"/>
    <w:pPr>
      <w:spacing w:after="0" w:line="240" w:lineRule="auto"/>
    </w:pPr>
  </w:style>
  <w:style w:type="character" w:styleId="CommentReference">
    <w:name w:val="annotation reference"/>
    <w:basedOn w:val="DefaultParagraphFont"/>
    <w:uiPriority w:val="99"/>
    <w:semiHidden/>
    <w:unhideWhenUsed/>
    <w:rsid w:val="000F2F6C"/>
    <w:rPr>
      <w:sz w:val="16"/>
      <w:szCs w:val="16"/>
    </w:rPr>
  </w:style>
  <w:style w:type="paragraph" w:styleId="CommentText">
    <w:name w:val="annotation text"/>
    <w:basedOn w:val="Normal"/>
    <w:link w:val="CommentTextChar"/>
    <w:uiPriority w:val="99"/>
    <w:unhideWhenUsed/>
    <w:rsid w:val="000F2F6C"/>
    <w:pPr>
      <w:spacing w:line="240" w:lineRule="auto"/>
    </w:pPr>
    <w:rPr>
      <w:sz w:val="20"/>
      <w:szCs w:val="20"/>
    </w:rPr>
  </w:style>
  <w:style w:type="character" w:customStyle="1" w:styleId="CommentTextChar">
    <w:name w:val="Comment Text Char"/>
    <w:basedOn w:val="DefaultParagraphFont"/>
    <w:link w:val="CommentText"/>
    <w:uiPriority w:val="99"/>
    <w:rsid w:val="000F2F6C"/>
    <w:rPr>
      <w:sz w:val="20"/>
      <w:szCs w:val="20"/>
    </w:rPr>
  </w:style>
  <w:style w:type="paragraph" w:styleId="CommentSubject">
    <w:name w:val="annotation subject"/>
    <w:basedOn w:val="CommentText"/>
    <w:next w:val="CommentText"/>
    <w:link w:val="CommentSubjectChar"/>
    <w:uiPriority w:val="99"/>
    <w:semiHidden/>
    <w:unhideWhenUsed/>
    <w:rsid w:val="000F2F6C"/>
    <w:rPr>
      <w:b/>
      <w:bCs/>
    </w:rPr>
  </w:style>
  <w:style w:type="character" w:customStyle="1" w:styleId="CommentSubjectChar">
    <w:name w:val="Comment Subject Char"/>
    <w:basedOn w:val="CommentTextChar"/>
    <w:link w:val="CommentSubject"/>
    <w:uiPriority w:val="99"/>
    <w:semiHidden/>
    <w:rsid w:val="000F2F6C"/>
    <w:rPr>
      <w:b/>
      <w:bCs/>
      <w:sz w:val="20"/>
      <w:szCs w:val="20"/>
    </w:rPr>
  </w:style>
  <w:style w:type="character" w:styleId="FollowedHyperlink">
    <w:name w:val="FollowedHyperlink"/>
    <w:basedOn w:val="DefaultParagraphFont"/>
    <w:uiPriority w:val="99"/>
    <w:semiHidden/>
    <w:unhideWhenUsed/>
    <w:rsid w:val="00481819"/>
    <w:rPr>
      <w:color w:val="96607D" w:themeColor="followedHyperlink"/>
      <w:u w:val="single"/>
    </w:rPr>
  </w:style>
  <w:style w:type="paragraph" w:styleId="TOCHeading">
    <w:name w:val="TOC Heading"/>
    <w:basedOn w:val="Heading1"/>
    <w:next w:val="Normal"/>
    <w:uiPriority w:val="39"/>
    <w:unhideWhenUsed/>
    <w:qFormat/>
    <w:rsid w:val="00467D7C"/>
    <w:pPr>
      <w:spacing w:before="240" w:after="0" w:line="259" w:lineRule="auto"/>
      <w:outlineLvl w:val="9"/>
    </w:pPr>
    <w:rPr>
      <w:color w:val="0F4761" w:themeColor="accent1" w:themeShade="BF"/>
      <w:kern w:val="0"/>
      <w:sz w:val="32"/>
      <w:szCs w:val="32"/>
      <w14:ligatures w14:val="none"/>
    </w:rPr>
  </w:style>
  <w:style w:type="paragraph" w:styleId="TOC1">
    <w:name w:val="toc 1"/>
    <w:basedOn w:val="Normal"/>
    <w:next w:val="Normal"/>
    <w:autoRedefine/>
    <w:uiPriority w:val="39"/>
    <w:unhideWhenUsed/>
    <w:rsid w:val="00EF22FB"/>
    <w:pPr>
      <w:tabs>
        <w:tab w:val="right" w:leader="dot" w:pos="9350"/>
      </w:tabs>
      <w:spacing w:after="100"/>
    </w:pPr>
    <w:rPr>
      <w:noProof/>
      <w:sz w:val="28"/>
      <w:szCs w:val="28"/>
    </w:rPr>
  </w:style>
  <w:style w:type="paragraph" w:styleId="TOC2">
    <w:name w:val="toc 2"/>
    <w:basedOn w:val="Normal"/>
    <w:next w:val="Normal"/>
    <w:autoRedefine/>
    <w:uiPriority w:val="39"/>
    <w:unhideWhenUsed/>
    <w:rsid w:val="00F44721"/>
    <w:pPr>
      <w:tabs>
        <w:tab w:val="right" w:leader="dot" w:pos="9350"/>
      </w:tabs>
      <w:spacing w:after="100"/>
      <w:ind w:left="240"/>
    </w:pPr>
    <w:rPr>
      <w:noProof/>
      <w:color w:val="00918F"/>
    </w:rPr>
  </w:style>
  <w:style w:type="table" w:styleId="TableGrid">
    <w:name w:val="Table Grid"/>
    <w:basedOn w:val="TableNormal"/>
    <w:uiPriority w:val="39"/>
    <w:rsid w:val="00763D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D62CDA"/>
    <w:pPr>
      <w:numPr>
        <w:numId w:val="17"/>
      </w:numPr>
      <w:contextualSpacing/>
    </w:pPr>
  </w:style>
  <w:style w:type="paragraph" w:styleId="EndnoteText">
    <w:name w:val="endnote text"/>
    <w:basedOn w:val="Normal"/>
    <w:link w:val="EndnoteTextChar"/>
    <w:uiPriority w:val="99"/>
    <w:semiHidden/>
    <w:unhideWhenUsed/>
    <w:rsid w:val="00A3466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34660"/>
    <w:rPr>
      <w:rFonts w:ascii="Lato" w:hAnsi="Lato"/>
      <w:sz w:val="20"/>
      <w:szCs w:val="20"/>
    </w:rPr>
  </w:style>
  <w:style w:type="character" w:styleId="EndnoteReference">
    <w:name w:val="endnote reference"/>
    <w:basedOn w:val="DefaultParagraphFont"/>
    <w:uiPriority w:val="99"/>
    <w:semiHidden/>
    <w:unhideWhenUsed/>
    <w:rsid w:val="00A34660"/>
    <w:rPr>
      <w:vertAlign w:val="superscript"/>
    </w:rPr>
  </w:style>
  <w:style w:type="paragraph" w:styleId="FootnoteText">
    <w:name w:val="footnote text"/>
    <w:basedOn w:val="Normal"/>
    <w:link w:val="FootnoteTextChar"/>
    <w:uiPriority w:val="99"/>
    <w:unhideWhenUsed/>
    <w:rsid w:val="00A34660"/>
    <w:pPr>
      <w:spacing w:after="0" w:line="240" w:lineRule="auto"/>
    </w:pPr>
    <w:rPr>
      <w:sz w:val="20"/>
      <w:szCs w:val="20"/>
    </w:rPr>
  </w:style>
  <w:style w:type="character" w:customStyle="1" w:styleId="FootnoteTextChar">
    <w:name w:val="Footnote Text Char"/>
    <w:basedOn w:val="DefaultParagraphFont"/>
    <w:link w:val="FootnoteText"/>
    <w:uiPriority w:val="99"/>
    <w:rsid w:val="00A34660"/>
    <w:rPr>
      <w:rFonts w:ascii="Lato" w:hAnsi="Lato"/>
      <w:sz w:val="20"/>
      <w:szCs w:val="20"/>
    </w:rPr>
  </w:style>
  <w:style w:type="character" w:styleId="FootnoteReference">
    <w:name w:val="footnote reference"/>
    <w:basedOn w:val="DefaultParagraphFont"/>
    <w:uiPriority w:val="99"/>
    <w:semiHidden/>
    <w:unhideWhenUsed/>
    <w:rsid w:val="00A3466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930655">
      <w:bodyDiv w:val="1"/>
      <w:marLeft w:val="0"/>
      <w:marRight w:val="0"/>
      <w:marTop w:val="0"/>
      <w:marBottom w:val="0"/>
      <w:divBdr>
        <w:top w:val="none" w:sz="0" w:space="0" w:color="auto"/>
        <w:left w:val="none" w:sz="0" w:space="0" w:color="auto"/>
        <w:bottom w:val="none" w:sz="0" w:space="0" w:color="auto"/>
        <w:right w:val="none" w:sz="0" w:space="0" w:color="auto"/>
      </w:divBdr>
    </w:div>
    <w:div w:id="358360584">
      <w:bodyDiv w:val="1"/>
      <w:marLeft w:val="0"/>
      <w:marRight w:val="0"/>
      <w:marTop w:val="0"/>
      <w:marBottom w:val="0"/>
      <w:divBdr>
        <w:top w:val="none" w:sz="0" w:space="0" w:color="auto"/>
        <w:left w:val="none" w:sz="0" w:space="0" w:color="auto"/>
        <w:bottom w:val="none" w:sz="0" w:space="0" w:color="auto"/>
        <w:right w:val="none" w:sz="0" w:space="0" w:color="auto"/>
      </w:divBdr>
    </w:div>
    <w:div w:id="377166299">
      <w:bodyDiv w:val="1"/>
      <w:marLeft w:val="0"/>
      <w:marRight w:val="0"/>
      <w:marTop w:val="0"/>
      <w:marBottom w:val="0"/>
      <w:divBdr>
        <w:top w:val="none" w:sz="0" w:space="0" w:color="auto"/>
        <w:left w:val="none" w:sz="0" w:space="0" w:color="auto"/>
        <w:bottom w:val="none" w:sz="0" w:space="0" w:color="auto"/>
        <w:right w:val="none" w:sz="0" w:space="0" w:color="auto"/>
      </w:divBdr>
    </w:div>
    <w:div w:id="561478661">
      <w:bodyDiv w:val="1"/>
      <w:marLeft w:val="0"/>
      <w:marRight w:val="0"/>
      <w:marTop w:val="0"/>
      <w:marBottom w:val="0"/>
      <w:divBdr>
        <w:top w:val="none" w:sz="0" w:space="0" w:color="auto"/>
        <w:left w:val="none" w:sz="0" w:space="0" w:color="auto"/>
        <w:bottom w:val="none" w:sz="0" w:space="0" w:color="auto"/>
        <w:right w:val="none" w:sz="0" w:space="0" w:color="auto"/>
      </w:divBdr>
    </w:div>
    <w:div w:id="583301063">
      <w:bodyDiv w:val="1"/>
      <w:marLeft w:val="0"/>
      <w:marRight w:val="0"/>
      <w:marTop w:val="0"/>
      <w:marBottom w:val="0"/>
      <w:divBdr>
        <w:top w:val="none" w:sz="0" w:space="0" w:color="auto"/>
        <w:left w:val="none" w:sz="0" w:space="0" w:color="auto"/>
        <w:bottom w:val="none" w:sz="0" w:space="0" w:color="auto"/>
        <w:right w:val="none" w:sz="0" w:space="0" w:color="auto"/>
      </w:divBdr>
    </w:div>
    <w:div w:id="810289966">
      <w:bodyDiv w:val="1"/>
      <w:marLeft w:val="0"/>
      <w:marRight w:val="0"/>
      <w:marTop w:val="0"/>
      <w:marBottom w:val="0"/>
      <w:divBdr>
        <w:top w:val="none" w:sz="0" w:space="0" w:color="auto"/>
        <w:left w:val="none" w:sz="0" w:space="0" w:color="auto"/>
        <w:bottom w:val="none" w:sz="0" w:space="0" w:color="auto"/>
        <w:right w:val="none" w:sz="0" w:space="0" w:color="auto"/>
      </w:divBdr>
    </w:div>
    <w:div w:id="1011029109">
      <w:bodyDiv w:val="1"/>
      <w:marLeft w:val="0"/>
      <w:marRight w:val="0"/>
      <w:marTop w:val="0"/>
      <w:marBottom w:val="0"/>
      <w:divBdr>
        <w:top w:val="none" w:sz="0" w:space="0" w:color="auto"/>
        <w:left w:val="none" w:sz="0" w:space="0" w:color="auto"/>
        <w:bottom w:val="none" w:sz="0" w:space="0" w:color="auto"/>
        <w:right w:val="none" w:sz="0" w:space="0" w:color="auto"/>
      </w:divBdr>
    </w:div>
    <w:div w:id="1019890634">
      <w:bodyDiv w:val="1"/>
      <w:marLeft w:val="0"/>
      <w:marRight w:val="0"/>
      <w:marTop w:val="0"/>
      <w:marBottom w:val="0"/>
      <w:divBdr>
        <w:top w:val="none" w:sz="0" w:space="0" w:color="auto"/>
        <w:left w:val="none" w:sz="0" w:space="0" w:color="auto"/>
        <w:bottom w:val="none" w:sz="0" w:space="0" w:color="auto"/>
        <w:right w:val="none" w:sz="0" w:space="0" w:color="auto"/>
      </w:divBdr>
    </w:div>
    <w:div w:id="1021736494">
      <w:bodyDiv w:val="1"/>
      <w:marLeft w:val="0"/>
      <w:marRight w:val="0"/>
      <w:marTop w:val="0"/>
      <w:marBottom w:val="0"/>
      <w:divBdr>
        <w:top w:val="none" w:sz="0" w:space="0" w:color="auto"/>
        <w:left w:val="none" w:sz="0" w:space="0" w:color="auto"/>
        <w:bottom w:val="none" w:sz="0" w:space="0" w:color="auto"/>
        <w:right w:val="none" w:sz="0" w:space="0" w:color="auto"/>
      </w:divBdr>
    </w:div>
    <w:div w:id="1101996872">
      <w:bodyDiv w:val="1"/>
      <w:marLeft w:val="0"/>
      <w:marRight w:val="0"/>
      <w:marTop w:val="0"/>
      <w:marBottom w:val="0"/>
      <w:divBdr>
        <w:top w:val="none" w:sz="0" w:space="0" w:color="auto"/>
        <w:left w:val="none" w:sz="0" w:space="0" w:color="auto"/>
        <w:bottom w:val="none" w:sz="0" w:space="0" w:color="auto"/>
        <w:right w:val="none" w:sz="0" w:space="0" w:color="auto"/>
      </w:divBdr>
    </w:div>
    <w:div w:id="1115910226">
      <w:bodyDiv w:val="1"/>
      <w:marLeft w:val="0"/>
      <w:marRight w:val="0"/>
      <w:marTop w:val="0"/>
      <w:marBottom w:val="0"/>
      <w:divBdr>
        <w:top w:val="none" w:sz="0" w:space="0" w:color="auto"/>
        <w:left w:val="none" w:sz="0" w:space="0" w:color="auto"/>
        <w:bottom w:val="none" w:sz="0" w:space="0" w:color="auto"/>
        <w:right w:val="none" w:sz="0" w:space="0" w:color="auto"/>
      </w:divBdr>
    </w:div>
    <w:div w:id="1123884533">
      <w:bodyDiv w:val="1"/>
      <w:marLeft w:val="0"/>
      <w:marRight w:val="0"/>
      <w:marTop w:val="0"/>
      <w:marBottom w:val="0"/>
      <w:divBdr>
        <w:top w:val="none" w:sz="0" w:space="0" w:color="auto"/>
        <w:left w:val="none" w:sz="0" w:space="0" w:color="auto"/>
        <w:bottom w:val="none" w:sz="0" w:space="0" w:color="auto"/>
        <w:right w:val="none" w:sz="0" w:space="0" w:color="auto"/>
      </w:divBdr>
    </w:div>
    <w:div w:id="1226801103">
      <w:bodyDiv w:val="1"/>
      <w:marLeft w:val="0"/>
      <w:marRight w:val="0"/>
      <w:marTop w:val="0"/>
      <w:marBottom w:val="0"/>
      <w:divBdr>
        <w:top w:val="none" w:sz="0" w:space="0" w:color="auto"/>
        <w:left w:val="none" w:sz="0" w:space="0" w:color="auto"/>
        <w:bottom w:val="none" w:sz="0" w:space="0" w:color="auto"/>
        <w:right w:val="none" w:sz="0" w:space="0" w:color="auto"/>
      </w:divBdr>
    </w:div>
    <w:div w:id="1256287967">
      <w:bodyDiv w:val="1"/>
      <w:marLeft w:val="0"/>
      <w:marRight w:val="0"/>
      <w:marTop w:val="0"/>
      <w:marBottom w:val="0"/>
      <w:divBdr>
        <w:top w:val="none" w:sz="0" w:space="0" w:color="auto"/>
        <w:left w:val="none" w:sz="0" w:space="0" w:color="auto"/>
        <w:bottom w:val="none" w:sz="0" w:space="0" w:color="auto"/>
        <w:right w:val="none" w:sz="0" w:space="0" w:color="auto"/>
      </w:divBdr>
    </w:div>
    <w:div w:id="1306931159">
      <w:bodyDiv w:val="1"/>
      <w:marLeft w:val="0"/>
      <w:marRight w:val="0"/>
      <w:marTop w:val="0"/>
      <w:marBottom w:val="0"/>
      <w:divBdr>
        <w:top w:val="none" w:sz="0" w:space="0" w:color="auto"/>
        <w:left w:val="none" w:sz="0" w:space="0" w:color="auto"/>
        <w:bottom w:val="none" w:sz="0" w:space="0" w:color="auto"/>
        <w:right w:val="none" w:sz="0" w:space="0" w:color="auto"/>
      </w:divBdr>
    </w:div>
    <w:div w:id="1599438167">
      <w:bodyDiv w:val="1"/>
      <w:marLeft w:val="0"/>
      <w:marRight w:val="0"/>
      <w:marTop w:val="0"/>
      <w:marBottom w:val="0"/>
      <w:divBdr>
        <w:top w:val="none" w:sz="0" w:space="0" w:color="auto"/>
        <w:left w:val="none" w:sz="0" w:space="0" w:color="auto"/>
        <w:bottom w:val="none" w:sz="0" w:space="0" w:color="auto"/>
        <w:right w:val="none" w:sz="0" w:space="0" w:color="auto"/>
      </w:divBdr>
    </w:div>
    <w:div w:id="1970623236">
      <w:bodyDiv w:val="1"/>
      <w:marLeft w:val="0"/>
      <w:marRight w:val="0"/>
      <w:marTop w:val="0"/>
      <w:marBottom w:val="0"/>
      <w:divBdr>
        <w:top w:val="none" w:sz="0" w:space="0" w:color="auto"/>
        <w:left w:val="none" w:sz="0" w:space="0" w:color="auto"/>
        <w:bottom w:val="none" w:sz="0" w:space="0" w:color="auto"/>
        <w:right w:val="none" w:sz="0" w:space="0" w:color="auto"/>
      </w:divBdr>
    </w:div>
    <w:div w:id="212195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smokefreeathomenm.org/get-certified-today/" TargetMode="External"/><Relationship Id="rId4" Type="http://schemas.openxmlformats.org/officeDocument/2006/relationships/settings" Target="settings.xml"/><Relationship Id="rId9" Type="http://schemas.openxmlformats.org/officeDocument/2006/relationships/hyperlink" Target="https://housingnm.org/developer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housingnm.org/developers/lihtc/qaps" TargetMode="External"/><Relationship Id="rId2" Type="http://schemas.openxmlformats.org/officeDocument/2006/relationships/hyperlink" Target="https://www.nmdfa.state.nm.us/board-of-finance/monthly-meetings/" TargetMode="External"/><Relationship Id="rId1" Type="http://schemas.openxmlformats.org/officeDocument/2006/relationships/hyperlink" Target="https://housingnm.org/developers/lihtc/qaps" TargetMode="External"/><Relationship Id="rId4" Type="http://schemas.openxmlformats.org/officeDocument/2006/relationships/hyperlink" Target="https://www.nmdfa.state.nm.us/board-of-finance/monthly-meetings/submission-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361B9F-925E-4CAE-B397-CC301C39D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3700</Words>
  <Characters>21093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Housing New Mexico | MFA</dc:creator>
  <cp:keywords/>
  <dc:description/>
  <cp:lastModifiedBy>James Schneider</cp:lastModifiedBy>
  <cp:revision>6</cp:revision>
  <dcterms:created xsi:type="dcterms:W3CDTF">2025-07-18T21:22:00Z</dcterms:created>
  <dcterms:modified xsi:type="dcterms:W3CDTF">2025-07-18T21:30:00Z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