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A67F7" w14:textId="7E8060AA" w:rsidR="0011353A" w:rsidRPr="00570A34" w:rsidRDefault="0021763E" w:rsidP="0021763E">
      <w:pPr>
        <w:jc w:val="center"/>
        <w:rPr>
          <w:rFonts w:ascii="Lato" w:hAnsi="Lato"/>
          <w:b/>
          <w:bCs/>
        </w:rPr>
      </w:pPr>
      <w:r w:rsidRPr="00570A34">
        <w:rPr>
          <w:rFonts w:ascii="Lato" w:hAnsi="Lato"/>
          <w:b/>
          <w:bCs/>
        </w:rPr>
        <w:t>FY2</w:t>
      </w:r>
      <w:r w:rsidR="00DE4253">
        <w:rPr>
          <w:rFonts w:ascii="Lato" w:hAnsi="Lato"/>
          <w:b/>
          <w:bCs/>
        </w:rPr>
        <w:t>6</w:t>
      </w:r>
      <w:r w:rsidRPr="00570A34">
        <w:rPr>
          <w:rFonts w:ascii="Lato" w:hAnsi="Lato"/>
          <w:b/>
          <w:bCs/>
        </w:rPr>
        <w:t xml:space="preserve"> </w:t>
      </w:r>
      <w:r w:rsidR="00DE4253">
        <w:rPr>
          <w:rFonts w:ascii="Lato" w:hAnsi="Lato"/>
          <w:b/>
          <w:bCs/>
        </w:rPr>
        <w:t xml:space="preserve">Recovery Housing Program </w:t>
      </w:r>
      <w:r w:rsidRPr="00570A34">
        <w:rPr>
          <w:rFonts w:ascii="Lato" w:hAnsi="Lato"/>
          <w:b/>
          <w:bCs/>
        </w:rPr>
        <w:t>Performance Report</w:t>
      </w:r>
      <w:r w:rsidR="00DE4253">
        <w:rPr>
          <w:rFonts w:ascii="Lato" w:hAnsi="Lato"/>
          <w:b/>
          <w:bCs/>
        </w:rPr>
        <w:t xml:space="preserve"> &amp; Notice of Public Hearing</w:t>
      </w:r>
      <w:r w:rsidRPr="00570A34">
        <w:rPr>
          <w:rFonts w:ascii="Lato" w:hAnsi="Lato"/>
          <w:b/>
          <w:bCs/>
        </w:rPr>
        <w:t xml:space="preserve"> – 10/1/2</w:t>
      </w:r>
      <w:r w:rsidR="00AD5069">
        <w:rPr>
          <w:rFonts w:ascii="Lato" w:hAnsi="Lato"/>
          <w:b/>
          <w:bCs/>
        </w:rPr>
        <w:t>5</w:t>
      </w:r>
      <w:r w:rsidRPr="00570A34">
        <w:rPr>
          <w:rFonts w:ascii="Lato" w:hAnsi="Lato"/>
          <w:b/>
          <w:bCs/>
        </w:rPr>
        <w:t>-9/30/2</w:t>
      </w:r>
      <w:r w:rsidR="00AD5069">
        <w:rPr>
          <w:rFonts w:ascii="Lato" w:hAnsi="Lato"/>
          <w:b/>
          <w:bCs/>
        </w:rPr>
        <w:t>6</w:t>
      </w:r>
    </w:p>
    <w:p w14:paraId="0F2D1401" w14:textId="0C688A45" w:rsidR="0021763E" w:rsidRPr="00570A34" w:rsidRDefault="0021763E" w:rsidP="0021763E">
      <w:pPr>
        <w:rPr>
          <w:rFonts w:ascii="Lato" w:hAnsi="Lato"/>
          <w:b/>
          <w:bCs/>
          <w:sz w:val="20"/>
          <w:szCs w:val="20"/>
          <w:u w:val="single"/>
        </w:rPr>
      </w:pPr>
      <w:r w:rsidRPr="00570A34">
        <w:rPr>
          <w:rFonts w:ascii="Lato" w:hAnsi="Lato"/>
          <w:b/>
          <w:bCs/>
          <w:sz w:val="20"/>
          <w:szCs w:val="20"/>
          <w:u w:val="single"/>
        </w:rPr>
        <w:t>Financials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519"/>
        <w:gridCol w:w="2506"/>
        <w:gridCol w:w="2395"/>
        <w:gridCol w:w="1930"/>
      </w:tblGrid>
      <w:tr w:rsidR="00795AE4" w14:paraId="2CC6824F" w14:textId="5B5A7DEB" w:rsidTr="00263AA7">
        <w:trPr>
          <w:trHeight w:val="635"/>
        </w:trPr>
        <w:tc>
          <w:tcPr>
            <w:tcW w:w="2519" w:type="dxa"/>
            <w:tcBorders>
              <w:bottom w:val="single" w:sz="4" w:space="0" w:color="000000"/>
              <w:right w:val="single" w:sz="4" w:space="0" w:color="000000"/>
            </w:tcBorders>
            <w:shd w:val="clear" w:color="auto" w:fill="D9D9D9" w:themeFill="background1" w:themeFillShade="D9"/>
            <w:tcMar>
              <w:top w:w="0" w:type="dxa"/>
              <w:left w:w="108" w:type="dxa"/>
              <w:bottom w:w="0" w:type="dxa"/>
              <w:right w:w="108" w:type="dxa"/>
            </w:tcMar>
            <w:hideMark/>
          </w:tcPr>
          <w:p w14:paraId="40FE4395" w14:textId="77777777" w:rsidR="00795AE4" w:rsidRDefault="00795AE4" w:rsidP="000D7516">
            <w:pPr>
              <w:spacing w:line="240" w:lineRule="auto"/>
              <w:jc w:val="center"/>
              <w:rPr>
                <w:color w:val="000000"/>
                <w:sz w:val="20"/>
                <w:szCs w:val="20"/>
              </w:rPr>
            </w:pPr>
            <w:r>
              <w:rPr>
                <w:b/>
                <w:bCs/>
                <w:color w:val="000000"/>
                <w:sz w:val="20"/>
                <w:szCs w:val="20"/>
              </w:rPr>
              <w:t>Service Provider</w:t>
            </w:r>
          </w:p>
        </w:tc>
        <w:tc>
          <w:tcPr>
            <w:tcW w:w="2506" w:type="dxa"/>
            <w:tcBorders>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hideMark/>
          </w:tcPr>
          <w:p w14:paraId="75737D9F" w14:textId="74D61D10" w:rsidR="00795AE4" w:rsidRDefault="00795AE4" w:rsidP="000D7516">
            <w:pPr>
              <w:spacing w:line="240" w:lineRule="auto"/>
              <w:jc w:val="center"/>
              <w:rPr>
                <w:color w:val="000000"/>
                <w:sz w:val="20"/>
                <w:szCs w:val="20"/>
              </w:rPr>
            </w:pPr>
            <w:r>
              <w:rPr>
                <w:b/>
                <w:bCs/>
                <w:color w:val="000000"/>
                <w:sz w:val="20"/>
                <w:szCs w:val="20"/>
              </w:rPr>
              <w:t>Total Award Amount</w:t>
            </w:r>
          </w:p>
        </w:tc>
        <w:tc>
          <w:tcPr>
            <w:tcW w:w="2395" w:type="dxa"/>
            <w:tcBorders>
              <w:left w:val="single" w:sz="4" w:space="0" w:color="000000"/>
              <w:bottom w:val="single" w:sz="4" w:space="0" w:color="000000"/>
            </w:tcBorders>
            <w:shd w:val="clear" w:color="auto" w:fill="D9D9D9" w:themeFill="background1" w:themeFillShade="D9"/>
            <w:tcMar>
              <w:top w:w="0" w:type="dxa"/>
              <w:left w:w="108" w:type="dxa"/>
              <w:bottom w:w="0" w:type="dxa"/>
              <w:right w:w="108" w:type="dxa"/>
            </w:tcMar>
            <w:hideMark/>
          </w:tcPr>
          <w:p w14:paraId="6AA73C70" w14:textId="7DF476EB" w:rsidR="00795AE4" w:rsidRDefault="00795AE4" w:rsidP="000D7516">
            <w:pPr>
              <w:spacing w:line="240" w:lineRule="auto"/>
              <w:jc w:val="center"/>
              <w:rPr>
                <w:color w:val="000000"/>
                <w:sz w:val="20"/>
                <w:szCs w:val="20"/>
              </w:rPr>
            </w:pPr>
            <w:r>
              <w:rPr>
                <w:b/>
                <w:bCs/>
                <w:color w:val="000000"/>
                <w:sz w:val="20"/>
                <w:szCs w:val="20"/>
              </w:rPr>
              <w:t>Total Expended during Reporting Period</w:t>
            </w:r>
          </w:p>
        </w:tc>
        <w:tc>
          <w:tcPr>
            <w:tcW w:w="1930" w:type="dxa"/>
            <w:tcBorders>
              <w:left w:val="single" w:sz="4" w:space="0" w:color="000000"/>
              <w:bottom w:val="single" w:sz="4" w:space="0" w:color="000000"/>
            </w:tcBorders>
            <w:shd w:val="clear" w:color="auto" w:fill="D9D9D9" w:themeFill="background1" w:themeFillShade="D9"/>
          </w:tcPr>
          <w:p w14:paraId="399D75A4" w14:textId="5AE26567" w:rsidR="00795AE4" w:rsidRDefault="00795AE4" w:rsidP="000D7516">
            <w:pPr>
              <w:spacing w:line="240" w:lineRule="auto"/>
              <w:jc w:val="center"/>
              <w:rPr>
                <w:b/>
                <w:bCs/>
                <w:color w:val="000000"/>
                <w:sz w:val="20"/>
                <w:szCs w:val="20"/>
              </w:rPr>
            </w:pPr>
            <w:r>
              <w:rPr>
                <w:b/>
                <w:bCs/>
                <w:color w:val="000000"/>
                <w:sz w:val="20"/>
                <w:szCs w:val="20"/>
              </w:rPr>
              <w:t>Total Expended to Date</w:t>
            </w:r>
          </w:p>
        </w:tc>
      </w:tr>
      <w:tr w:rsidR="00795AE4" w14:paraId="170AF555" w14:textId="68B6E32D" w:rsidTr="00795AE4">
        <w:trPr>
          <w:trHeight w:val="635"/>
        </w:trPr>
        <w:tc>
          <w:tcPr>
            <w:tcW w:w="2519"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5681E092" w14:textId="77777777" w:rsidR="00795AE4" w:rsidRDefault="00795AE4" w:rsidP="000D7516">
            <w:pPr>
              <w:spacing w:line="240" w:lineRule="auto"/>
              <w:rPr>
                <w:color w:val="000000"/>
                <w:sz w:val="20"/>
                <w:szCs w:val="20"/>
              </w:rPr>
            </w:pPr>
            <w:r>
              <w:rPr>
                <w:b/>
                <w:bCs/>
                <w:color w:val="000000"/>
                <w:sz w:val="20"/>
                <w:szCs w:val="20"/>
              </w:rPr>
              <w:t>Endorphin Power Company</w:t>
            </w:r>
          </w:p>
        </w:tc>
        <w:tc>
          <w:tcPr>
            <w:tcW w:w="2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913301" w14:textId="28DC9A65" w:rsidR="00795AE4" w:rsidRDefault="00795AE4" w:rsidP="000D7516">
            <w:pPr>
              <w:spacing w:line="240" w:lineRule="auto"/>
              <w:jc w:val="center"/>
              <w:rPr>
                <w:color w:val="000000"/>
                <w:sz w:val="20"/>
                <w:szCs w:val="20"/>
              </w:rPr>
            </w:pPr>
            <w:r>
              <w:rPr>
                <w:b/>
                <w:bCs/>
                <w:color w:val="000000"/>
                <w:sz w:val="20"/>
                <w:szCs w:val="20"/>
              </w:rPr>
              <w:t>$693,200.00</w:t>
            </w:r>
          </w:p>
        </w:tc>
        <w:tc>
          <w:tcPr>
            <w:tcW w:w="2395"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105E91C5" w14:textId="5D8434CB" w:rsidR="00795AE4" w:rsidRDefault="00795AE4" w:rsidP="000D7516">
            <w:pPr>
              <w:spacing w:line="240" w:lineRule="auto"/>
              <w:jc w:val="center"/>
              <w:rPr>
                <w:color w:val="000000"/>
                <w:sz w:val="20"/>
                <w:szCs w:val="20"/>
              </w:rPr>
            </w:pPr>
            <w:r>
              <w:rPr>
                <w:b/>
                <w:bCs/>
                <w:color w:val="000000"/>
                <w:sz w:val="20"/>
                <w:szCs w:val="20"/>
              </w:rPr>
              <w:t>$0.00</w:t>
            </w:r>
          </w:p>
        </w:tc>
        <w:tc>
          <w:tcPr>
            <w:tcW w:w="1930" w:type="dxa"/>
            <w:tcBorders>
              <w:top w:val="single" w:sz="4" w:space="0" w:color="000000"/>
              <w:left w:val="single" w:sz="4" w:space="0" w:color="000000"/>
              <w:bottom w:val="single" w:sz="4" w:space="0" w:color="000000"/>
            </w:tcBorders>
          </w:tcPr>
          <w:p w14:paraId="4B3623F1" w14:textId="4C915D8C" w:rsidR="00795AE4" w:rsidRDefault="00795AE4" w:rsidP="000D7516">
            <w:pPr>
              <w:spacing w:line="240" w:lineRule="auto"/>
              <w:jc w:val="center"/>
              <w:rPr>
                <w:b/>
                <w:bCs/>
                <w:color w:val="000000"/>
                <w:sz w:val="20"/>
                <w:szCs w:val="20"/>
              </w:rPr>
            </w:pPr>
            <w:r>
              <w:rPr>
                <w:b/>
                <w:bCs/>
                <w:color w:val="000000"/>
                <w:sz w:val="20"/>
                <w:szCs w:val="20"/>
              </w:rPr>
              <w:t>$332,835.61</w:t>
            </w:r>
          </w:p>
        </w:tc>
      </w:tr>
      <w:tr w:rsidR="00795AE4" w14:paraId="69D429F4" w14:textId="770DB248" w:rsidTr="00795AE4">
        <w:trPr>
          <w:trHeight w:val="635"/>
        </w:trPr>
        <w:tc>
          <w:tcPr>
            <w:tcW w:w="2519"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1A726B4A" w14:textId="77777777" w:rsidR="00795AE4" w:rsidRDefault="00795AE4" w:rsidP="000D7516">
            <w:pPr>
              <w:spacing w:line="240" w:lineRule="auto"/>
              <w:rPr>
                <w:color w:val="000000"/>
                <w:sz w:val="20"/>
                <w:szCs w:val="20"/>
              </w:rPr>
            </w:pPr>
            <w:r>
              <w:rPr>
                <w:b/>
                <w:bCs/>
                <w:color w:val="000000"/>
                <w:sz w:val="20"/>
                <w:szCs w:val="20"/>
              </w:rPr>
              <w:t>Hozho Center for Personal Enhancement</w:t>
            </w:r>
          </w:p>
        </w:tc>
        <w:tc>
          <w:tcPr>
            <w:tcW w:w="2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8AAC35" w14:textId="723C245D" w:rsidR="00795AE4" w:rsidRDefault="00795AE4" w:rsidP="000D7516">
            <w:pPr>
              <w:spacing w:line="240" w:lineRule="auto"/>
              <w:jc w:val="center"/>
              <w:rPr>
                <w:color w:val="000000"/>
                <w:sz w:val="20"/>
                <w:szCs w:val="20"/>
              </w:rPr>
            </w:pPr>
            <w:r>
              <w:rPr>
                <w:b/>
                <w:bCs/>
                <w:color w:val="000000"/>
                <w:sz w:val="20"/>
                <w:szCs w:val="20"/>
              </w:rPr>
              <w:t>$969,499.00</w:t>
            </w:r>
          </w:p>
        </w:tc>
        <w:tc>
          <w:tcPr>
            <w:tcW w:w="2395"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0CFD3B2F" w14:textId="5CEB5344" w:rsidR="00795AE4" w:rsidRPr="00580A57" w:rsidRDefault="00795AE4" w:rsidP="000D7516">
            <w:pPr>
              <w:spacing w:line="240" w:lineRule="auto"/>
              <w:jc w:val="center"/>
              <w:rPr>
                <w:b/>
                <w:bCs/>
                <w:color w:val="000000"/>
                <w:sz w:val="20"/>
                <w:szCs w:val="20"/>
              </w:rPr>
            </w:pPr>
            <w:r w:rsidRPr="00580A57">
              <w:rPr>
                <w:b/>
                <w:bCs/>
                <w:color w:val="000000"/>
                <w:sz w:val="20"/>
                <w:szCs w:val="20"/>
              </w:rPr>
              <w:t>$152,301.34</w:t>
            </w:r>
          </w:p>
        </w:tc>
        <w:tc>
          <w:tcPr>
            <w:tcW w:w="1930" w:type="dxa"/>
            <w:tcBorders>
              <w:top w:val="single" w:sz="4" w:space="0" w:color="000000"/>
              <w:left w:val="single" w:sz="4" w:space="0" w:color="000000"/>
              <w:bottom w:val="single" w:sz="4" w:space="0" w:color="000000"/>
            </w:tcBorders>
          </w:tcPr>
          <w:p w14:paraId="637D7D46" w14:textId="27F6D02B" w:rsidR="00795AE4" w:rsidRPr="00580A57" w:rsidRDefault="00795AE4" w:rsidP="000D7516">
            <w:pPr>
              <w:spacing w:line="240" w:lineRule="auto"/>
              <w:jc w:val="center"/>
              <w:rPr>
                <w:b/>
                <w:bCs/>
                <w:color w:val="000000"/>
                <w:sz w:val="20"/>
                <w:szCs w:val="20"/>
              </w:rPr>
            </w:pPr>
            <w:r>
              <w:rPr>
                <w:b/>
                <w:bCs/>
                <w:color w:val="000000"/>
                <w:sz w:val="20"/>
                <w:szCs w:val="20"/>
              </w:rPr>
              <w:t>$731,099.15</w:t>
            </w:r>
          </w:p>
        </w:tc>
      </w:tr>
      <w:tr w:rsidR="00795AE4" w14:paraId="56D8D819" w14:textId="603BCFDA" w:rsidTr="00795AE4">
        <w:trPr>
          <w:trHeight w:val="635"/>
        </w:trPr>
        <w:tc>
          <w:tcPr>
            <w:tcW w:w="2519"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0B5A521B" w14:textId="77777777" w:rsidR="00795AE4" w:rsidRDefault="00795AE4" w:rsidP="000D7516">
            <w:pPr>
              <w:spacing w:line="240" w:lineRule="auto"/>
              <w:rPr>
                <w:color w:val="000000"/>
                <w:sz w:val="20"/>
                <w:szCs w:val="20"/>
              </w:rPr>
            </w:pPr>
            <w:r>
              <w:rPr>
                <w:b/>
                <w:bCs/>
                <w:color w:val="000000"/>
                <w:sz w:val="20"/>
                <w:szCs w:val="20"/>
              </w:rPr>
              <w:t>New Mexico Reentry Center</w:t>
            </w:r>
          </w:p>
        </w:tc>
        <w:tc>
          <w:tcPr>
            <w:tcW w:w="2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0C8ED5" w14:textId="6545099F" w:rsidR="00795AE4" w:rsidRDefault="00795AE4" w:rsidP="000D7516">
            <w:pPr>
              <w:spacing w:line="240" w:lineRule="auto"/>
              <w:jc w:val="center"/>
              <w:rPr>
                <w:color w:val="000000"/>
                <w:sz w:val="20"/>
                <w:szCs w:val="20"/>
              </w:rPr>
            </w:pPr>
            <w:r>
              <w:rPr>
                <w:b/>
                <w:bCs/>
                <w:color w:val="000000"/>
                <w:sz w:val="20"/>
                <w:szCs w:val="20"/>
              </w:rPr>
              <w:t>$1,000,000.00</w:t>
            </w:r>
          </w:p>
        </w:tc>
        <w:tc>
          <w:tcPr>
            <w:tcW w:w="2395"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33D03D9F" w14:textId="6CCB78AB" w:rsidR="00795AE4" w:rsidRDefault="00795AE4" w:rsidP="000D7516">
            <w:pPr>
              <w:spacing w:line="240" w:lineRule="auto"/>
              <w:jc w:val="center"/>
              <w:rPr>
                <w:color w:val="000000"/>
                <w:sz w:val="20"/>
                <w:szCs w:val="20"/>
              </w:rPr>
            </w:pPr>
            <w:r>
              <w:rPr>
                <w:b/>
                <w:bCs/>
                <w:color w:val="000000"/>
                <w:sz w:val="20"/>
                <w:szCs w:val="20"/>
              </w:rPr>
              <w:t>$273,892.34</w:t>
            </w:r>
          </w:p>
        </w:tc>
        <w:tc>
          <w:tcPr>
            <w:tcW w:w="1930" w:type="dxa"/>
            <w:tcBorders>
              <w:top w:val="single" w:sz="4" w:space="0" w:color="000000"/>
              <w:left w:val="single" w:sz="4" w:space="0" w:color="000000"/>
              <w:bottom w:val="single" w:sz="4" w:space="0" w:color="000000"/>
            </w:tcBorders>
          </w:tcPr>
          <w:p w14:paraId="71A1CDD6" w14:textId="5C079556" w:rsidR="00795AE4" w:rsidRDefault="00795AE4" w:rsidP="000D7516">
            <w:pPr>
              <w:spacing w:line="240" w:lineRule="auto"/>
              <w:jc w:val="center"/>
              <w:rPr>
                <w:b/>
                <w:bCs/>
                <w:color w:val="000000"/>
                <w:sz w:val="20"/>
                <w:szCs w:val="20"/>
              </w:rPr>
            </w:pPr>
            <w:r>
              <w:rPr>
                <w:b/>
                <w:bCs/>
                <w:color w:val="000000"/>
                <w:sz w:val="20"/>
                <w:szCs w:val="20"/>
              </w:rPr>
              <w:t>$792,657.31</w:t>
            </w:r>
          </w:p>
        </w:tc>
      </w:tr>
      <w:tr w:rsidR="00795AE4" w14:paraId="5A844BCE" w14:textId="67627D4E" w:rsidTr="00795AE4">
        <w:trPr>
          <w:trHeight w:val="620"/>
        </w:trPr>
        <w:tc>
          <w:tcPr>
            <w:tcW w:w="2519"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57E72108" w14:textId="77777777" w:rsidR="00795AE4" w:rsidRDefault="00795AE4" w:rsidP="000D7516">
            <w:pPr>
              <w:spacing w:line="240" w:lineRule="auto"/>
              <w:rPr>
                <w:color w:val="000000"/>
                <w:sz w:val="20"/>
                <w:szCs w:val="20"/>
              </w:rPr>
            </w:pPr>
            <w:proofErr w:type="spellStart"/>
            <w:r>
              <w:rPr>
                <w:b/>
                <w:bCs/>
                <w:color w:val="000000"/>
                <w:sz w:val="20"/>
                <w:szCs w:val="20"/>
              </w:rPr>
              <w:t>TenderLove</w:t>
            </w:r>
            <w:proofErr w:type="spellEnd"/>
            <w:r>
              <w:rPr>
                <w:b/>
                <w:bCs/>
                <w:color w:val="000000"/>
                <w:sz w:val="20"/>
                <w:szCs w:val="20"/>
              </w:rPr>
              <w:t xml:space="preserve"> Community Center</w:t>
            </w:r>
          </w:p>
        </w:tc>
        <w:tc>
          <w:tcPr>
            <w:tcW w:w="2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EB039A" w14:textId="1D175770" w:rsidR="00795AE4" w:rsidRDefault="00795AE4" w:rsidP="000D7516">
            <w:pPr>
              <w:spacing w:line="240" w:lineRule="auto"/>
              <w:jc w:val="center"/>
              <w:rPr>
                <w:color w:val="000000"/>
                <w:sz w:val="20"/>
                <w:szCs w:val="20"/>
              </w:rPr>
            </w:pPr>
            <w:r>
              <w:rPr>
                <w:b/>
                <w:bCs/>
                <w:color w:val="000000"/>
                <w:sz w:val="20"/>
                <w:szCs w:val="20"/>
              </w:rPr>
              <w:t>$1,200,000.00</w:t>
            </w:r>
          </w:p>
        </w:tc>
        <w:tc>
          <w:tcPr>
            <w:tcW w:w="2395"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4AF600AA" w14:textId="75E2B4F4" w:rsidR="00795AE4" w:rsidRDefault="00795AE4" w:rsidP="000D7516">
            <w:pPr>
              <w:spacing w:line="240" w:lineRule="auto"/>
              <w:jc w:val="center"/>
              <w:rPr>
                <w:color w:val="000000"/>
                <w:sz w:val="20"/>
                <w:szCs w:val="20"/>
              </w:rPr>
            </w:pPr>
            <w:r>
              <w:rPr>
                <w:b/>
                <w:bCs/>
                <w:color w:val="000000"/>
                <w:sz w:val="20"/>
                <w:szCs w:val="20"/>
              </w:rPr>
              <w:t>$560,414.19</w:t>
            </w:r>
          </w:p>
        </w:tc>
        <w:tc>
          <w:tcPr>
            <w:tcW w:w="1930" w:type="dxa"/>
            <w:tcBorders>
              <w:top w:val="single" w:sz="4" w:space="0" w:color="000000"/>
              <w:left w:val="single" w:sz="4" w:space="0" w:color="000000"/>
              <w:bottom w:val="single" w:sz="4" w:space="0" w:color="000000"/>
            </w:tcBorders>
          </w:tcPr>
          <w:p w14:paraId="486E0F33" w14:textId="4E72B1B6" w:rsidR="00795AE4" w:rsidRDefault="00795AE4" w:rsidP="000D7516">
            <w:pPr>
              <w:spacing w:line="240" w:lineRule="auto"/>
              <w:jc w:val="center"/>
              <w:rPr>
                <w:b/>
                <w:bCs/>
                <w:color w:val="000000"/>
                <w:sz w:val="20"/>
                <w:szCs w:val="20"/>
              </w:rPr>
            </w:pPr>
            <w:r>
              <w:rPr>
                <w:b/>
                <w:bCs/>
                <w:color w:val="000000"/>
                <w:sz w:val="20"/>
                <w:szCs w:val="20"/>
              </w:rPr>
              <w:t>$1,200,000.00</w:t>
            </w:r>
          </w:p>
        </w:tc>
      </w:tr>
      <w:tr w:rsidR="00795AE4" w14:paraId="739FA63F" w14:textId="4149E6A7" w:rsidTr="00795AE4">
        <w:trPr>
          <w:trHeight w:val="503"/>
        </w:trPr>
        <w:tc>
          <w:tcPr>
            <w:tcW w:w="2519" w:type="dxa"/>
            <w:tcBorders>
              <w:top w:val="single" w:sz="4" w:space="0" w:color="000000"/>
              <w:bottom w:val="single" w:sz="4" w:space="0" w:color="000000"/>
              <w:right w:val="single" w:sz="4" w:space="0" w:color="000000"/>
            </w:tcBorders>
            <w:tcMar>
              <w:top w:w="0" w:type="dxa"/>
              <w:left w:w="108" w:type="dxa"/>
              <w:bottom w:w="0" w:type="dxa"/>
              <w:right w:w="108" w:type="dxa"/>
            </w:tcMar>
          </w:tcPr>
          <w:p w14:paraId="5D97C666" w14:textId="26CC60DB" w:rsidR="00795AE4" w:rsidRDefault="00795AE4" w:rsidP="000D7516">
            <w:pPr>
              <w:spacing w:line="240" w:lineRule="auto"/>
              <w:rPr>
                <w:b/>
                <w:bCs/>
                <w:color w:val="000000"/>
                <w:sz w:val="20"/>
                <w:szCs w:val="20"/>
              </w:rPr>
            </w:pPr>
            <w:r>
              <w:rPr>
                <w:b/>
                <w:bCs/>
                <w:color w:val="000000"/>
                <w:sz w:val="20"/>
                <w:szCs w:val="20"/>
              </w:rPr>
              <w:t>Crossroads for Women (award recaptured 8/1/25)</w:t>
            </w:r>
          </w:p>
        </w:tc>
        <w:tc>
          <w:tcPr>
            <w:tcW w:w="2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21406" w14:textId="3467C51D" w:rsidR="00795AE4" w:rsidRDefault="00795AE4" w:rsidP="000D7516">
            <w:pPr>
              <w:spacing w:line="240" w:lineRule="auto"/>
              <w:jc w:val="center"/>
              <w:rPr>
                <w:b/>
                <w:bCs/>
                <w:color w:val="000000"/>
                <w:sz w:val="20"/>
                <w:szCs w:val="20"/>
              </w:rPr>
            </w:pPr>
            <w:r>
              <w:rPr>
                <w:b/>
                <w:bCs/>
                <w:color w:val="000000"/>
                <w:sz w:val="20"/>
                <w:szCs w:val="20"/>
              </w:rPr>
              <w:t>$600,000.00</w:t>
            </w:r>
          </w:p>
        </w:tc>
        <w:tc>
          <w:tcPr>
            <w:tcW w:w="2395" w:type="dxa"/>
            <w:tcBorders>
              <w:top w:val="single" w:sz="4" w:space="0" w:color="000000"/>
              <w:left w:val="single" w:sz="4" w:space="0" w:color="000000"/>
              <w:bottom w:val="single" w:sz="4" w:space="0" w:color="000000"/>
            </w:tcBorders>
            <w:tcMar>
              <w:top w:w="0" w:type="dxa"/>
              <w:left w:w="108" w:type="dxa"/>
              <w:bottom w:w="0" w:type="dxa"/>
              <w:right w:w="108" w:type="dxa"/>
            </w:tcMar>
          </w:tcPr>
          <w:p w14:paraId="1EB728A9" w14:textId="08EEFCC7" w:rsidR="00795AE4" w:rsidRDefault="00795AE4" w:rsidP="000D7516">
            <w:pPr>
              <w:spacing w:line="240" w:lineRule="auto"/>
              <w:jc w:val="center"/>
              <w:rPr>
                <w:b/>
                <w:bCs/>
                <w:color w:val="000000"/>
                <w:sz w:val="20"/>
                <w:szCs w:val="20"/>
              </w:rPr>
            </w:pPr>
            <w:r>
              <w:rPr>
                <w:b/>
                <w:bCs/>
                <w:color w:val="000000"/>
                <w:sz w:val="20"/>
                <w:szCs w:val="20"/>
              </w:rPr>
              <w:t>Award Recaptured</w:t>
            </w:r>
          </w:p>
        </w:tc>
        <w:tc>
          <w:tcPr>
            <w:tcW w:w="1930" w:type="dxa"/>
            <w:tcBorders>
              <w:top w:val="single" w:sz="4" w:space="0" w:color="000000"/>
              <w:left w:val="single" w:sz="4" w:space="0" w:color="000000"/>
              <w:bottom w:val="single" w:sz="4" w:space="0" w:color="000000"/>
            </w:tcBorders>
          </w:tcPr>
          <w:p w14:paraId="4B226750" w14:textId="791A23F1" w:rsidR="00795AE4" w:rsidRDefault="00795AE4" w:rsidP="00795AE4">
            <w:pPr>
              <w:spacing w:line="240" w:lineRule="auto"/>
              <w:jc w:val="center"/>
              <w:rPr>
                <w:b/>
                <w:bCs/>
                <w:color w:val="000000"/>
                <w:sz w:val="20"/>
                <w:szCs w:val="20"/>
              </w:rPr>
            </w:pPr>
            <w:r>
              <w:rPr>
                <w:b/>
                <w:bCs/>
                <w:color w:val="000000"/>
                <w:sz w:val="20"/>
                <w:szCs w:val="20"/>
              </w:rPr>
              <w:t>-</w:t>
            </w:r>
          </w:p>
        </w:tc>
      </w:tr>
      <w:tr w:rsidR="00795AE4" w14:paraId="66616448" w14:textId="01E24F51" w:rsidTr="00795AE4">
        <w:trPr>
          <w:trHeight w:val="503"/>
        </w:trPr>
        <w:tc>
          <w:tcPr>
            <w:tcW w:w="2519" w:type="dxa"/>
            <w:tcBorders>
              <w:top w:val="single" w:sz="4" w:space="0" w:color="000000"/>
              <w:right w:val="single" w:sz="4" w:space="0" w:color="000000"/>
            </w:tcBorders>
            <w:tcMar>
              <w:top w:w="0" w:type="dxa"/>
              <w:left w:w="108" w:type="dxa"/>
              <w:bottom w:w="0" w:type="dxa"/>
              <w:right w:w="108" w:type="dxa"/>
            </w:tcMar>
          </w:tcPr>
          <w:p w14:paraId="6E9CC1C8" w14:textId="44CC53F8" w:rsidR="00795AE4" w:rsidRDefault="00795AE4" w:rsidP="000D7516">
            <w:pPr>
              <w:spacing w:line="240" w:lineRule="auto"/>
              <w:rPr>
                <w:b/>
                <w:bCs/>
                <w:color w:val="000000"/>
                <w:sz w:val="20"/>
                <w:szCs w:val="20"/>
              </w:rPr>
            </w:pPr>
            <w:r>
              <w:rPr>
                <w:b/>
                <w:bCs/>
                <w:color w:val="000000"/>
                <w:sz w:val="20"/>
                <w:szCs w:val="20"/>
              </w:rPr>
              <w:t>The Santa Fe Mountain Center</w:t>
            </w:r>
          </w:p>
        </w:tc>
        <w:tc>
          <w:tcPr>
            <w:tcW w:w="2506" w:type="dxa"/>
            <w:tcBorders>
              <w:top w:val="single" w:sz="4" w:space="0" w:color="000000"/>
              <w:left w:val="single" w:sz="4" w:space="0" w:color="000000"/>
              <w:right w:val="single" w:sz="4" w:space="0" w:color="000000"/>
            </w:tcBorders>
            <w:tcMar>
              <w:top w:w="0" w:type="dxa"/>
              <w:left w:w="108" w:type="dxa"/>
              <w:bottom w:w="0" w:type="dxa"/>
              <w:right w:w="108" w:type="dxa"/>
            </w:tcMar>
          </w:tcPr>
          <w:p w14:paraId="0EC3042E" w14:textId="6DE77E62" w:rsidR="00795AE4" w:rsidRDefault="00795AE4" w:rsidP="000D7516">
            <w:pPr>
              <w:spacing w:line="240" w:lineRule="auto"/>
              <w:jc w:val="center"/>
              <w:rPr>
                <w:b/>
                <w:bCs/>
                <w:color w:val="000000"/>
                <w:sz w:val="20"/>
                <w:szCs w:val="20"/>
              </w:rPr>
            </w:pPr>
            <w:r>
              <w:rPr>
                <w:b/>
                <w:bCs/>
                <w:color w:val="000000"/>
                <w:sz w:val="20"/>
                <w:szCs w:val="20"/>
              </w:rPr>
              <w:t>$644,986.47</w:t>
            </w:r>
          </w:p>
        </w:tc>
        <w:tc>
          <w:tcPr>
            <w:tcW w:w="2395" w:type="dxa"/>
            <w:tcBorders>
              <w:top w:val="single" w:sz="4" w:space="0" w:color="000000"/>
              <w:left w:val="single" w:sz="4" w:space="0" w:color="000000"/>
            </w:tcBorders>
            <w:tcMar>
              <w:top w:w="0" w:type="dxa"/>
              <w:left w:w="108" w:type="dxa"/>
              <w:bottom w:w="0" w:type="dxa"/>
              <w:right w:w="108" w:type="dxa"/>
            </w:tcMar>
          </w:tcPr>
          <w:p w14:paraId="6A840930" w14:textId="64E85715" w:rsidR="00795AE4" w:rsidRDefault="00795AE4" w:rsidP="000D7516">
            <w:pPr>
              <w:spacing w:line="240" w:lineRule="auto"/>
              <w:jc w:val="center"/>
              <w:rPr>
                <w:b/>
                <w:bCs/>
                <w:color w:val="000000"/>
                <w:sz w:val="20"/>
                <w:szCs w:val="20"/>
              </w:rPr>
            </w:pPr>
            <w:r>
              <w:rPr>
                <w:b/>
                <w:bCs/>
                <w:color w:val="000000"/>
                <w:sz w:val="20"/>
                <w:szCs w:val="20"/>
              </w:rPr>
              <w:t>-</w:t>
            </w:r>
          </w:p>
        </w:tc>
        <w:tc>
          <w:tcPr>
            <w:tcW w:w="1930" w:type="dxa"/>
            <w:tcBorders>
              <w:top w:val="single" w:sz="4" w:space="0" w:color="000000"/>
              <w:left w:val="single" w:sz="4" w:space="0" w:color="000000"/>
            </w:tcBorders>
          </w:tcPr>
          <w:p w14:paraId="62099570" w14:textId="7AE1DAAB" w:rsidR="00795AE4" w:rsidRDefault="00795AE4" w:rsidP="000D7516">
            <w:pPr>
              <w:spacing w:line="240" w:lineRule="auto"/>
              <w:jc w:val="center"/>
              <w:rPr>
                <w:b/>
                <w:bCs/>
                <w:color w:val="000000"/>
                <w:sz w:val="20"/>
                <w:szCs w:val="20"/>
              </w:rPr>
            </w:pPr>
            <w:r>
              <w:rPr>
                <w:b/>
                <w:bCs/>
                <w:color w:val="000000"/>
                <w:sz w:val="20"/>
                <w:szCs w:val="20"/>
              </w:rPr>
              <w:t>-</w:t>
            </w:r>
          </w:p>
        </w:tc>
      </w:tr>
      <w:tr w:rsidR="00795AE4" w14:paraId="39F028A0" w14:textId="24B6E0AE" w:rsidTr="00795AE4">
        <w:trPr>
          <w:trHeight w:val="503"/>
        </w:trPr>
        <w:tc>
          <w:tcPr>
            <w:tcW w:w="2519" w:type="dxa"/>
            <w:tcBorders>
              <w:top w:val="single" w:sz="4" w:space="0" w:color="000000"/>
              <w:right w:val="single" w:sz="4" w:space="0" w:color="000000"/>
            </w:tcBorders>
            <w:tcMar>
              <w:top w:w="0" w:type="dxa"/>
              <w:left w:w="108" w:type="dxa"/>
              <w:bottom w:w="0" w:type="dxa"/>
              <w:right w:w="108" w:type="dxa"/>
            </w:tcMar>
          </w:tcPr>
          <w:p w14:paraId="672F7F37" w14:textId="0E7F93A6" w:rsidR="00795AE4" w:rsidRDefault="00795AE4" w:rsidP="000D7516">
            <w:pPr>
              <w:spacing w:line="240" w:lineRule="auto"/>
              <w:rPr>
                <w:b/>
                <w:bCs/>
                <w:color w:val="000000"/>
                <w:sz w:val="20"/>
                <w:szCs w:val="20"/>
              </w:rPr>
            </w:pPr>
            <w:r>
              <w:rPr>
                <w:b/>
                <w:bCs/>
                <w:color w:val="000000"/>
                <w:sz w:val="20"/>
                <w:szCs w:val="20"/>
              </w:rPr>
              <w:t>Cornerstone Community Solutions</w:t>
            </w:r>
          </w:p>
        </w:tc>
        <w:tc>
          <w:tcPr>
            <w:tcW w:w="2506" w:type="dxa"/>
            <w:tcBorders>
              <w:top w:val="single" w:sz="4" w:space="0" w:color="000000"/>
              <w:left w:val="single" w:sz="4" w:space="0" w:color="000000"/>
              <w:right w:val="single" w:sz="4" w:space="0" w:color="000000"/>
            </w:tcBorders>
            <w:tcMar>
              <w:top w:w="0" w:type="dxa"/>
              <w:left w:w="108" w:type="dxa"/>
              <w:bottom w:w="0" w:type="dxa"/>
              <w:right w:w="108" w:type="dxa"/>
            </w:tcMar>
          </w:tcPr>
          <w:p w14:paraId="243047EF" w14:textId="7CC7A00F" w:rsidR="00795AE4" w:rsidRDefault="00795AE4" w:rsidP="000D7516">
            <w:pPr>
              <w:spacing w:line="240" w:lineRule="auto"/>
              <w:jc w:val="center"/>
              <w:rPr>
                <w:b/>
                <w:bCs/>
                <w:color w:val="000000"/>
                <w:sz w:val="20"/>
                <w:szCs w:val="20"/>
              </w:rPr>
            </w:pPr>
            <w:r>
              <w:rPr>
                <w:b/>
                <w:bCs/>
                <w:color w:val="000000"/>
                <w:sz w:val="20"/>
                <w:szCs w:val="20"/>
              </w:rPr>
              <w:t>$400,000.00</w:t>
            </w:r>
          </w:p>
        </w:tc>
        <w:tc>
          <w:tcPr>
            <w:tcW w:w="2395" w:type="dxa"/>
            <w:tcBorders>
              <w:top w:val="single" w:sz="4" w:space="0" w:color="000000"/>
              <w:left w:val="single" w:sz="4" w:space="0" w:color="000000"/>
            </w:tcBorders>
            <w:tcMar>
              <w:top w:w="0" w:type="dxa"/>
              <w:left w:w="108" w:type="dxa"/>
              <w:bottom w:w="0" w:type="dxa"/>
              <w:right w:w="108" w:type="dxa"/>
            </w:tcMar>
          </w:tcPr>
          <w:p w14:paraId="6B446554" w14:textId="4061A69B" w:rsidR="00795AE4" w:rsidRDefault="00795AE4" w:rsidP="000D7516">
            <w:pPr>
              <w:spacing w:line="240" w:lineRule="auto"/>
              <w:jc w:val="center"/>
              <w:rPr>
                <w:b/>
                <w:bCs/>
                <w:color w:val="000000"/>
                <w:sz w:val="20"/>
                <w:szCs w:val="20"/>
              </w:rPr>
            </w:pPr>
            <w:r>
              <w:rPr>
                <w:b/>
                <w:bCs/>
                <w:color w:val="000000"/>
                <w:sz w:val="20"/>
                <w:szCs w:val="20"/>
              </w:rPr>
              <w:t>-</w:t>
            </w:r>
          </w:p>
        </w:tc>
        <w:tc>
          <w:tcPr>
            <w:tcW w:w="1930" w:type="dxa"/>
            <w:tcBorders>
              <w:top w:val="single" w:sz="4" w:space="0" w:color="000000"/>
              <w:left w:val="single" w:sz="4" w:space="0" w:color="000000"/>
            </w:tcBorders>
          </w:tcPr>
          <w:p w14:paraId="16D6286A" w14:textId="458ED7B8" w:rsidR="00795AE4" w:rsidRDefault="00795AE4" w:rsidP="000D7516">
            <w:pPr>
              <w:spacing w:line="240" w:lineRule="auto"/>
              <w:jc w:val="center"/>
              <w:rPr>
                <w:b/>
                <w:bCs/>
                <w:color w:val="000000"/>
                <w:sz w:val="20"/>
                <w:szCs w:val="20"/>
              </w:rPr>
            </w:pPr>
            <w:r>
              <w:rPr>
                <w:b/>
                <w:bCs/>
                <w:color w:val="000000"/>
                <w:sz w:val="20"/>
                <w:szCs w:val="20"/>
              </w:rPr>
              <w:t>-</w:t>
            </w:r>
          </w:p>
        </w:tc>
      </w:tr>
      <w:tr w:rsidR="00795AE4" w14:paraId="758A2FA6" w14:textId="30D91CA3" w:rsidTr="00795AE4">
        <w:trPr>
          <w:trHeight w:val="503"/>
        </w:trPr>
        <w:tc>
          <w:tcPr>
            <w:tcW w:w="2519" w:type="dxa"/>
            <w:tcBorders>
              <w:top w:val="single" w:sz="4" w:space="0" w:color="000000"/>
              <w:right w:val="single" w:sz="4" w:space="0" w:color="000000"/>
            </w:tcBorders>
            <w:tcMar>
              <w:top w:w="0" w:type="dxa"/>
              <w:left w:w="108" w:type="dxa"/>
              <w:bottom w:w="0" w:type="dxa"/>
              <w:right w:w="108" w:type="dxa"/>
            </w:tcMar>
          </w:tcPr>
          <w:p w14:paraId="7E9123A6" w14:textId="334C52F5" w:rsidR="00795AE4" w:rsidRDefault="00795AE4" w:rsidP="000D7516">
            <w:pPr>
              <w:spacing w:line="240" w:lineRule="auto"/>
              <w:rPr>
                <w:b/>
                <w:bCs/>
                <w:color w:val="000000"/>
                <w:sz w:val="20"/>
                <w:szCs w:val="20"/>
              </w:rPr>
            </w:pPr>
            <w:r>
              <w:rPr>
                <w:b/>
                <w:bCs/>
                <w:color w:val="000000"/>
                <w:sz w:val="20"/>
                <w:szCs w:val="20"/>
              </w:rPr>
              <w:t>Espanola Pathways Shelter</w:t>
            </w:r>
          </w:p>
        </w:tc>
        <w:tc>
          <w:tcPr>
            <w:tcW w:w="2506" w:type="dxa"/>
            <w:tcBorders>
              <w:top w:val="single" w:sz="4" w:space="0" w:color="000000"/>
              <w:left w:val="single" w:sz="4" w:space="0" w:color="000000"/>
              <w:right w:val="single" w:sz="4" w:space="0" w:color="000000"/>
            </w:tcBorders>
            <w:tcMar>
              <w:top w:w="0" w:type="dxa"/>
              <w:left w:w="108" w:type="dxa"/>
              <w:bottom w:w="0" w:type="dxa"/>
              <w:right w:w="108" w:type="dxa"/>
            </w:tcMar>
          </w:tcPr>
          <w:p w14:paraId="2111872D" w14:textId="3F0F56E4" w:rsidR="00795AE4" w:rsidRDefault="00795AE4" w:rsidP="000D7516">
            <w:pPr>
              <w:spacing w:line="240" w:lineRule="auto"/>
              <w:jc w:val="center"/>
              <w:rPr>
                <w:b/>
                <w:bCs/>
                <w:color w:val="000000"/>
                <w:sz w:val="20"/>
                <w:szCs w:val="20"/>
              </w:rPr>
            </w:pPr>
            <w:r>
              <w:rPr>
                <w:b/>
                <w:bCs/>
                <w:color w:val="000000"/>
                <w:sz w:val="20"/>
                <w:szCs w:val="20"/>
              </w:rPr>
              <w:t>$561,577.86</w:t>
            </w:r>
          </w:p>
        </w:tc>
        <w:tc>
          <w:tcPr>
            <w:tcW w:w="2395" w:type="dxa"/>
            <w:tcBorders>
              <w:top w:val="single" w:sz="4" w:space="0" w:color="000000"/>
              <w:left w:val="single" w:sz="4" w:space="0" w:color="000000"/>
            </w:tcBorders>
            <w:tcMar>
              <w:top w:w="0" w:type="dxa"/>
              <w:left w:w="108" w:type="dxa"/>
              <w:bottom w:w="0" w:type="dxa"/>
              <w:right w:w="108" w:type="dxa"/>
            </w:tcMar>
          </w:tcPr>
          <w:p w14:paraId="387B842B" w14:textId="7D416A50" w:rsidR="00795AE4" w:rsidRDefault="00795AE4" w:rsidP="000D7516">
            <w:pPr>
              <w:spacing w:line="240" w:lineRule="auto"/>
              <w:jc w:val="center"/>
              <w:rPr>
                <w:b/>
                <w:bCs/>
                <w:color w:val="000000"/>
                <w:sz w:val="20"/>
                <w:szCs w:val="20"/>
              </w:rPr>
            </w:pPr>
            <w:r>
              <w:rPr>
                <w:b/>
                <w:bCs/>
                <w:color w:val="000000"/>
                <w:sz w:val="20"/>
                <w:szCs w:val="20"/>
              </w:rPr>
              <w:t>-</w:t>
            </w:r>
          </w:p>
        </w:tc>
        <w:tc>
          <w:tcPr>
            <w:tcW w:w="1930" w:type="dxa"/>
            <w:tcBorders>
              <w:top w:val="single" w:sz="4" w:space="0" w:color="000000"/>
              <w:left w:val="single" w:sz="4" w:space="0" w:color="000000"/>
            </w:tcBorders>
          </w:tcPr>
          <w:p w14:paraId="142C608D" w14:textId="13F68297" w:rsidR="00795AE4" w:rsidRDefault="00795AE4" w:rsidP="000D7516">
            <w:pPr>
              <w:spacing w:line="240" w:lineRule="auto"/>
              <w:jc w:val="center"/>
              <w:rPr>
                <w:b/>
                <w:bCs/>
                <w:color w:val="000000"/>
                <w:sz w:val="20"/>
                <w:szCs w:val="20"/>
              </w:rPr>
            </w:pPr>
            <w:r>
              <w:rPr>
                <w:b/>
                <w:bCs/>
                <w:color w:val="000000"/>
                <w:sz w:val="20"/>
                <w:szCs w:val="20"/>
              </w:rPr>
              <w:t>-</w:t>
            </w:r>
          </w:p>
        </w:tc>
      </w:tr>
      <w:tr w:rsidR="00795AE4" w14:paraId="3F513FF8" w14:textId="0580B1B5" w:rsidTr="00795AE4">
        <w:trPr>
          <w:trHeight w:val="503"/>
        </w:trPr>
        <w:tc>
          <w:tcPr>
            <w:tcW w:w="2519" w:type="dxa"/>
            <w:tcBorders>
              <w:top w:val="single" w:sz="4" w:space="0" w:color="000000"/>
              <w:right w:val="single" w:sz="4" w:space="0" w:color="000000"/>
            </w:tcBorders>
            <w:tcMar>
              <w:top w:w="0" w:type="dxa"/>
              <w:left w:w="108" w:type="dxa"/>
              <w:bottom w:w="0" w:type="dxa"/>
              <w:right w:w="108" w:type="dxa"/>
            </w:tcMar>
          </w:tcPr>
          <w:p w14:paraId="782826F8" w14:textId="0C82A9B9" w:rsidR="00795AE4" w:rsidRDefault="00795AE4" w:rsidP="000D7516">
            <w:pPr>
              <w:spacing w:line="240" w:lineRule="auto"/>
              <w:rPr>
                <w:b/>
                <w:bCs/>
                <w:color w:val="000000"/>
                <w:sz w:val="20"/>
                <w:szCs w:val="20"/>
              </w:rPr>
            </w:pPr>
            <w:r>
              <w:rPr>
                <w:b/>
                <w:bCs/>
                <w:color w:val="000000"/>
                <w:sz w:val="20"/>
                <w:szCs w:val="20"/>
              </w:rPr>
              <w:t>Golden Forward, Inc</w:t>
            </w:r>
          </w:p>
        </w:tc>
        <w:tc>
          <w:tcPr>
            <w:tcW w:w="2506" w:type="dxa"/>
            <w:tcBorders>
              <w:top w:val="single" w:sz="4" w:space="0" w:color="000000"/>
              <w:left w:val="single" w:sz="4" w:space="0" w:color="000000"/>
              <w:right w:val="single" w:sz="4" w:space="0" w:color="000000"/>
            </w:tcBorders>
            <w:tcMar>
              <w:top w:w="0" w:type="dxa"/>
              <w:left w:w="108" w:type="dxa"/>
              <w:bottom w:w="0" w:type="dxa"/>
              <w:right w:w="108" w:type="dxa"/>
            </w:tcMar>
          </w:tcPr>
          <w:p w14:paraId="376BE56A" w14:textId="01184599" w:rsidR="00795AE4" w:rsidRDefault="00795AE4" w:rsidP="000D7516">
            <w:pPr>
              <w:spacing w:line="240" w:lineRule="auto"/>
              <w:jc w:val="center"/>
              <w:rPr>
                <w:b/>
                <w:bCs/>
                <w:color w:val="000000"/>
                <w:sz w:val="20"/>
                <w:szCs w:val="20"/>
              </w:rPr>
            </w:pPr>
            <w:r>
              <w:rPr>
                <w:b/>
                <w:bCs/>
                <w:color w:val="000000"/>
                <w:sz w:val="20"/>
                <w:szCs w:val="20"/>
              </w:rPr>
              <w:t>$309,593.50</w:t>
            </w:r>
          </w:p>
        </w:tc>
        <w:tc>
          <w:tcPr>
            <w:tcW w:w="2395" w:type="dxa"/>
            <w:tcBorders>
              <w:top w:val="single" w:sz="4" w:space="0" w:color="000000"/>
              <w:left w:val="single" w:sz="4" w:space="0" w:color="000000"/>
            </w:tcBorders>
            <w:tcMar>
              <w:top w:w="0" w:type="dxa"/>
              <w:left w:w="108" w:type="dxa"/>
              <w:bottom w:w="0" w:type="dxa"/>
              <w:right w:w="108" w:type="dxa"/>
            </w:tcMar>
          </w:tcPr>
          <w:p w14:paraId="414CEDF2" w14:textId="51986F61" w:rsidR="00795AE4" w:rsidRDefault="00795AE4" w:rsidP="000D7516">
            <w:pPr>
              <w:spacing w:line="240" w:lineRule="auto"/>
              <w:jc w:val="center"/>
              <w:rPr>
                <w:b/>
                <w:bCs/>
                <w:color w:val="000000"/>
                <w:sz w:val="20"/>
                <w:szCs w:val="20"/>
              </w:rPr>
            </w:pPr>
            <w:r>
              <w:rPr>
                <w:b/>
                <w:bCs/>
                <w:color w:val="000000"/>
                <w:sz w:val="20"/>
                <w:szCs w:val="20"/>
              </w:rPr>
              <w:t>-</w:t>
            </w:r>
          </w:p>
        </w:tc>
        <w:tc>
          <w:tcPr>
            <w:tcW w:w="1930" w:type="dxa"/>
            <w:tcBorders>
              <w:top w:val="single" w:sz="4" w:space="0" w:color="000000"/>
              <w:left w:val="single" w:sz="4" w:space="0" w:color="000000"/>
            </w:tcBorders>
          </w:tcPr>
          <w:p w14:paraId="352E0DE0" w14:textId="72FC9F0A" w:rsidR="00795AE4" w:rsidRDefault="00795AE4" w:rsidP="000D7516">
            <w:pPr>
              <w:spacing w:line="240" w:lineRule="auto"/>
              <w:jc w:val="center"/>
              <w:rPr>
                <w:b/>
                <w:bCs/>
                <w:color w:val="000000"/>
                <w:sz w:val="20"/>
                <w:szCs w:val="20"/>
              </w:rPr>
            </w:pPr>
            <w:r>
              <w:rPr>
                <w:b/>
                <w:bCs/>
                <w:color w:val="000000"/>
                <w:sz w:val="20"/>
                <w:szCs w:val="20"/>
              </w:rPr>
              <w:t>-</w:t>
            </w:r>
          </w:p>
        </w:tc>
      </w:tr>
      <w:tr w:rsidR="00795AE4" w14:paraId="402A9C46" w14:textId="42D708CA" w:rsidTr="00795AE4">
        <w:trPr>
          <w:trHeight w:val="503"/>
        </w:trPr>
        <w:tc>
          <w:tcPr>
            <w:tcW w:w="2519" w:type="dxa"/>
            <w:tcBorders>
              <w:top w:val="single" w:sz="4" w:space="0" w:color="000000"/>
              <w:right w:val="single" w:sz="4" w:space="0" w:color="000000"/>
            </w:tcBorders>
            <w:tcMar>
              <w:top w:w="0" w:type="dxa"/>
              <w:left w:w="108" w:type="dxa"/>
              <w:bottom w:w="0" w:type="dxa"/>
              <w:right w:w="108" w:type="dxa"/>
            </w:tcMar>
          </w:tcPr>
          <w:p w14:paraId="38EE0766" w14:textId="11C6F4F1" w:rsidR="00795AE4" w:rsidRDefault="00795AE4" w:rsidP="000D7516">
            <w:pPr>
              <w:spacing w:line="240" w:lineRule="auto"/>
              <w:rPr>
                <w:b/>
                <w:bCs/>
                <w:color w:val="000000"/>
                <w:sz w:val="20"/>
                <w:szCs w:val="20"/>
              </w:rPr>
            </w:pPr>
            <w:r>
              <w:rPr>
                <w:b/>
                <w:bCs/>
                <w:color w:val="000000"/>
                <w:sz w:val="20"/>
                <w:szCs w:val="20"/>
              </w:rPr>
              <w:t>Serenity Mesa</w:t>
            </w:r>
          </w:p>
        </w:tc>
        <w:tc>
          <w:tcPr>
            <w:tcW w:w="2506" w:type="dxa"/>
            <w:tcBorders>
              <w:top w:val="single" w:sz="4" w:space="0" w:color="000000"/>
              <w:left w:val="single" w:sz="4" w:space="0" w:color="000000"/>
              <w:right w:val="single" w:sz="4" w:space="0" w:color="000000"/>
            </w:tcBorders>
            <w:tcMar>
              <w:top w:w="0" w:type="dxa"/>
              <w:left w:w="108" w:type="dxa"/>
              <w:bottom w:w="0" w:type="dxa"/>
              <w:right w:w="108" w:type="dxa"/>
            </w:tcMar>
          </w:tcPr>
          <w:p w14:paraId="1E9E983E" w14:textId="753EF2B5" w:rsidR="00795AE4" w:rsidRDefault="00795AE4" w:rsidP="000D7516">
            <w:pPr>
              <w:spacing w:line="240" w:lineRule="auto"/>
              <w:jc w:val="center"/>
              <w:rPr>
                <w:b/>
                <w:bCs/>
                <w:color w:val="000000"/>
                <w:sz w:val="20"/>
                <w:szCs w:val="20"/>
              </w:rPr>
            </w:pPr>
            <w:r>
              <w:rPr>
                <w:b/>
                <w:bCs/>
                <w:color w:val="000000"/>
                <w:sz w:val="20"/>
                <w:szCs w:val="20"/>
              </w:rPr>
              <w:t>$773,983.76</w:t>
            </w:r>
          </w:p>
        </w:tc>
        <w:tc>
          <w:tcPr>
            <w:tcW w:w="2395" w:type="dxa"/>
            <w:tcBorders>
              <w:top w:val="single" w:sz="4" w:space="0" w:color="000000"/>
              <w:left w:val="single" w:sz="4" w:space="0" w:color="000000"/>
            </w:tcBorders>
            <w:tcMar>
              <w:top w:w="0" w:type="dxa"/>
              <w:left w:w="108" w:type="dxa"/>
              <w:bottom w:w="0" w:type="dxa"/>
              <w:right w:w="108" w:type="dxa"/>
            </w:tcMar>
          </w:tcPr>
          <w:p w14:paraId="4543413D" w14:textId="5FF5C0DE" w:rsidR="00795AE4" w:rsidRDefault="00795AE4" w:rsidP="000D7516">
            <w:pPr>
              <w:spacing w:line="240" w:lineRule="auto"/>
              <w:jc w:val="center"/>
              <w:rPr>
                <w:b/>
                <w:bCs/>
                <w:color w:val="000000"/>
                <w:sz w:val="20"/>
                <w:szCs w:val="20"/>
              </w:rPr>
            </w:pPr>
            <w:r>
              <w:rPr>
                <w:b/>
                <w:bCs/>
                <w:color w:val="000000"/>
                <w:sz w:val="20"/>
                <w:szCs w:val="20"/>
              </w:rPr>
              <w:t>-</w:t>
            </w:r>
          </w:p>
        </w:tc>
        <w:tc>
          <w:tcPr>
            <w:tcW w:w="1930" w:type="dxa"/>
            <w:tcBorders>
              <w:top w:val="single" w:sz="4" w:space="0" w:color="000000"/>
              <w:left w:val="single" w:sz="4" w:space="0" w:color="000000"/>
            </w:tcBorders>
          </w:tcPr>
          <w:p w14:paraId="4E7912FC" w14:textId="606E27B6" w:rsidR="00795AE4" w:rsidRDefault="00795AE4" w:rsidP="000D7516">
            <w:pPr>
              <w:spacing w:line="240" w:lineRule="auto"/>
              <w:jc w:val="center"/>
              <w:rPr>
                <w:b/>
                <w:bCs/>
                <w:color w:val="000000"/>
                <w:sz w:val="20"/>
                <w:szCs w:val="20"/>
              </w:rPr>
            </w:pPr>
            <w:r>
              <w:rPr>
                <w:b/>
                <w:bCs/>
                <w:color w:val="000000"/>
                <w:sz w:val="20"/>
                <w:szCs w:val="20"/>
              </w:rPr>
              <w:t>-</w:t>
            </w:r>
          </w:p>
        </w:tc>
      </w:tr>
      <w:tr w:rsidR="00795AE4" w14:paraId="7E975FD5" w14:textId="15DA3314" w:rsidTr="00795AE4">
        <w:trPr>
          <w:trHeight w:val="503"/>
        </w:trPr>
        <w:tc>
          <w:tcPr>
            <w:tcW w:w="2519" w:type="dxa"/>
            <w:tcBorders>
              <w:top w:val="single" w:sz="4" w:space="0" w:color="000000"/>
              <w:right w:val="single" w:sz="4" w:space="0" w:color="000000"/>
            </w:tcBorders>
            <w:tcMar>
              <w:top w:w="0" w:type="dxa"/>
              <w:left w:w="108" w:type="dxa"/>
              <w:bottom w:w="0" w:type="dxa"/>
              <w:right w:w="108" w:type="dxa"/>
            </w:tcMar>
          </w:tcPr>
          <w:p w14:paraId="780398DD" w14:textId="4AFC8A47" w:rsidR="00795AE4" w:rsidRDefault="00795AE4" w:rsidP="000D7516">
            <w:pPr>
              <w:spacing w:line="240" w:lineRule="auto"/>
              <w:rPr>
                <w:b/>
                <w:bCs/>
                <w:color w:val="000000"/>
                <w:sz w:val="20"/>
                <w:szCs w:val="20"/>
              </w:rPr>
            </w:pPr>
            <w:r>
              <w:rPr>
                <w:b/>
                <w:bCs/>
                <w:color w:val="000000"/>
                <w:sz w:val="20"/>
                <w:szCs w:val="20"/>
              </w:rPr>
              <w:t>Supporting People in Need</w:t>
            </w:r>
          </w:p>
        </w:tc>
        <w:tc>
          <w:tcPr>
            <w:tcW w:w="2506" w:type="dxa"/>
            <w:tcBorders>
              <w:top w:val="single" w:sz="4" w:space="0" w:color="000000"/>
              <w:left w:val="single" w:sz="4" w:space="0" w:color="000000"/>
              <w:right w:val="single" w:sz="4" w:space="0" w:color="000000"/>
            </w:tcBorders>
            <w:tcMar>
              <w:top w:w="0" w:type="dxa"/>
              <w:left w:w="108" w:type="dxa"/>
              <w:bottom w:w="0" w:type="dxa"/>
              <w:right w:w="108" w:type="dxa"/>
            </w:tcMar>
          </w:tcPr>
          <w:p w14:paraId="3D0C40AF" w14:textId="07A3EDCE" w:rsidR="00795AE4" w:rsidRDefault="00795AE4" w:rsidP="000D7516">
            <w:pPr>
              <w:spacing w:line="240" w:lineRule="auto"/>
              <w:jc w:val="center"/>
              <w:rPr>
                <w:b/>
                <w:bCs/>
                <w:color w:val="000000"/>
                <w:sz w:val="20"/>
                <w:szCs w:val="20"/>
              </w:rPr>
            </w:pPr>
            <w:r>
              <w:rPr>
                <w:b/>
                <w:bCs/>
                <w:color w:val="000000"/>
                <w:sz w:val="20"/>
                <w:szCs w:val="20"/>
              </w:rPr>
              <w:t>$122,000.00</w:t>
            </w:r>
          </w:p>
        </w:tc>
        <w:tc>
          <w:tcPr>
            <w:tcW w:w="2395" w:type="dxa"/>
            <w:tcBorders>
              <w:top w:val="single" w:sz="4" w:space="0" w:color="000000"/>
              <w:left w:val="single" w:sz="4" w:space="0" w:color="000000"/>
            </w:tcBorders>
            <w:tcMar>
              <w:top w:w="0" w:type="dxa"/>
              <w:left w:w="108" w:type="dxa"/>
              <w:bottom w:w="0" w:type="dxa"/>
              <w:right w:w="108" w:type="dxa"/>
            </w:tcMar>
          </w:tcPr>
          <w:p w14:paraId="1A1A50B8" w14:textId="71F4DC50" w:rsidR="00795AE4" w:rsidRDefault="00795AE4" w:rsidP="000D7516">
            <w:pPr>
              <w:spacing w:line="240" w:lineRule="auto"/>
              <w:jc w:val="center"/>
              <w:rPr>
                <w:b/>
                <w:bCs/>
                <w:color w:val="000000"/>
                <w:sz w:val="20"/>
                <w:szCs w:val="20"/>
              </w:rPr>
            </w:pPr>
            <w:r>
              <w:rPr>
                <w:b/>
                <w:bCs/>
                <w:color w:val="000000"/>
                <w:sz w:val="20"/>
                <w:szCs w:val="20"/>
              </w:rPr>
              <w:t>-</w:t>
            </w:r>
          </w:p>
        </w:tc>
        <w:tc>
          <w:tcPr>
            <w:tcW w:w="1930" w:type="dxa"/>
            <w:tcBorders>
              <w:top w:val="single" w:sz="4" w:space="0" w:color="000000"/>
              <w:left w:val="single" w:sz="4" w:space="0" w:color="000000"/>
            </w:tcBorders>
          </w:tcPr>
          <w:p w14:paraId="6EE63E76" w14:textId="7CF64C4D" w:rsidR="00795AE4" w:rsidRDefault="00795AE4" w:rsidP="000D7516">
            <w:pPr>
              <w:spacing w:line="240" w:lineRule="auto"/>
              <w:jc w:val="center"/>
              <w:rPr>
                <w:b/>
                <w:bCs/>
                <w:color w:val="000000"/>
                <w:sz w:val="20"/>
                <w:szCs w:val="20"/>
              </w:rPr>
            </w:pPr>
            <w:r>
              <w:rPr>
                <w:b/>
                <w:bCs/>
                <w:color w:val="000000"/>
                <w:sz w:val="20"/>
                <w:szCs w:val="20"/>
              </w:rPr>
              <w:t>-</w:t>
            </w:r>
          </w:p>
        </w:tc>
      </w:tr>
    </w:tbl>
    <w:p w14:paraId="5CDBEDA9" w14:textId="7C0B3C06" w:rsidR="0021763E" w:rsidRPr="00570A34" w:rsidRDefault="0021763E" w:rsidP="0021763E">
      <w:pPr>
        <w:rPr>
          <w:rFonts w:ascii="Lato" w:hAnsi="Lato"/>
          <w:b/>
          <w:bCs/>
          <w:sz w:val="20"/>
          <w:szCs w:val="20"/>
          <w:u w:val="single"/>
        </w:rPr>
      </w:pPr>
      <w:r w:rsidRPr="00570A34">
        <w:rPr>
          <w:rFonts w:ascii="Lato" w:hAnsi="Lato"/>
          <w:b/>
          <w:bCs/>
          <w:sz w:val="20"/>
          <w:szCs w:val="20"/>
          <w:u w:val="single"/>
        </w:rPr>
        <w:t>Narratives</w:t>
      </w:r>
    </w:p>
    <w:p w14:paraId="7B0C1086" w14:textId="191EEE26" w:rsidR="0021763E" w:rsidRPr="00570A34" w:rsidRDefault="0021763E" w:rsidP="0021763E">
      <w:pPr>
        <w:rPr>
          <w:rFonts w:ascii="Lato" w:hAnsi="Lato"/>
          <w:b/>
          <w:bCs/>
          <w:sz w:val="20"/>
          <w:szCs w:val="20"/>
          <w:u w:val="single"/>
        </w:rPr>
      </w:pPr>
      <w:r w:rsidRPr="00570A34">
        <w:rPr>
          <w:rFonts w:ascii="Lato" w:hAnsi="Lato"/>
          <w:b/>
          <w:bCs/>
          <w:sz w:val="20"/>
          <w:szCs w:val="20"/>
          <w:u w:val="single"/>
        </w:rPr>
        <w:t>October 30, 202</w:t>
      </w:r>
      <w:r w:rsidR="00632DDB">
        <w:rPr>
          <w:rFonts w:ascii="Lato" w:hAnsi="Lato"/>
          <w:b/>
          <w:bCs/>
          <w:sz w:val="20"/>
          <w:szCs w:val="20"/>
          <w:u w:val="single"/>
        </w:rPr>
        <w:t>4</w:t>
      </w:r>
      <w:r w:rsidRPr="00570A34">
        <w:rPr>
          <w:rFonts w:ascii="Lato" w:hAnsi="Lato"/>
          <w:b/>
          <w:bCs/>
          <w:sz w:val="20"/>
          <w:szCs w:val="20"/>
          <w:u w:val="single"/>
        </w:rPr>
        <w:t xml:space="preserve"> – Annual Reporting</w:t>
      </w:r>
    </w:p>
    <w:p w14:paraId="18E2D36D" w14:textId="4F07D0B4" w:rsidR="0021763E" w:rsidRPr="00B56FA4" w:rsidRDefault="0021763E" w:rsidP="0021763E">
      <w:pPr>
        <w:rPr>
          <w:rFonts w:ascii="Lato" w:hAnsi="Lato"/>
          <w:sz w:val="20"/>
          <w:szCs w:val="20"/>
        </w:rPr>
      </w:pPr>
      <w:r w:rsidRPr="00B56FA4">
        <w:rPr>
          <w:rFonts w:ascii="Lato" w:hAnsi="Lato"/>
          <w:sz w:val="20"/>
          <w:szCs w:val="20"/>
        </w:rPr>
        <w:t>As of October 30, 202</w:t>
      </w:r>
      <w:r w:rsidR="00632DDB">
        <w:rPr>
          <w:rFonts w:ascii="Lato" w:hAnsi="Lato"/>
          <w:sz w:val="20"/>
          <w:szCs w:val="20"/>
        </w:rPr>
        <w:t>4</w:t>
      </w:r>
      <w:r w:rsidRPr="00B56FA4">
        <w:rPr>
          <w:rFonts w:ascii="Lato" w:hAnsi="Lato"/>
          <w:sz w:val="20"/>
          <w:szCs w:val="20"/>
        </w:rPr>
        <w:t>, Housing New Mexico has awarded a total of $3.7 million of New Mexico's RHP allocations to five approved recipients. After a period of 6 months, one of the awards was respectfully returned due to executive staff turnover experienced by Crossroads for Women.</w:t>
      </w:r>
    </w:p>
    <w:p w14:paraId="50D5C20E" w14:textId="32FF8ECE" w:rsidR="0021763E" w:rsidRPr="00B56FA4" w:rsidRDefault="0021763E" w:rsidP="0021763E">
      <w:pPr>
        <w:rPr>
          <w:rFonts w:ascii="Lato" w:hAnsi="Lato"/>
          <w:sz w:val="20"/>
          <w:szCs w:val="20"/>
        </w:rPr>
      </w:pPr>
      <w:r w:rsidRPr="00B56FA4">
        <w:rPr>
          <w:rFonts w:ascii="Lato" w:hAnsi="Lato"/>
          <w:sz w:val="20"/>
          <w:szCs w:val="20"/>
        </w:rPr>
        <w:t xml:space="preserve">Of the remaining four awards, one is fully drawn and has experienced a complete loss of their facility due to fire in January 2024. The project was at a point where the rehabilitation of a sixteen- unit multi-family property had completed 50% of the units to place in service. Now, they are working with the insurance company to settle their total loss claim and will repay funds to the RHP based on the amounts paid by the insurance, covering the superior mortgage first, then the balance to Housing New Mexico. Housing New Mexico is working to recapture the $600,000 award and include these recaptured funds in an amended NOFA. Housing New Mexico intends to allocate all RHP funds by </w:t>
      </w:r>
      <w:r w:rsidR="00B56FA4" w:rsidRPr="00B56FA4">
        <w:rPr>
          <w:rFonts w:ascii="Lato" w:hAnsi="Lato"/>
          <w:sz w:val="20"/>
          <w:szCs w:val="20"/>
        </w:rPr>
        <w:t>March</w:t>
      </w:r>
      <w:r w:rsidRPr="00B56FA4">
        <w:rPr>
          <w:rFonts w:ascii="Lato" w:hAnsi="Lato"/>
          <w:sz w:val="20"/>
          <w:szCs w:val="20"/>
        </w:rPr>
        <w:t xml:space="preserve"> 2026.</w:t>
      </w:r>
    </w:p>
    <w:p w14:paraId="33827B89" w14:textId="23782655" w:rsidR="0021763E" w:rsidRPr="00B56FA4" w:rsidRDefault="0021763E" w:rsidP="00B56FA4">
      <w:pPr>
        <w:ind w:left="720"/>
        <w:rPr>
          <w:rFonts w:ascii="Lato" w:hAnsi="Lato"/>
          <w:sz w:val="20"/>
          <w:szCs w:val="20"/>
        </w:rPr>
      </w:pPr>
      <w:r w:rsidRPr="00B56FA4">
        <w:rPr>
          <w:rFonts w:ascii="Lato" w:hAnsi="Lato"/>
          <w:sz w:val="20"/>
          <w:szCs w:val="20"/>
        </w:rPr>
        <w:lastRenderedPageBreak/>
        <w:t>•</w:t>
      </w:r>
      <w:r w:rsidRPr="00B56FA4">
        <w:rPr>
          <w:rFonts w:ascii="Lato" w:hAnsi="Lato"/>
          <w:sz w:val="20"/>
          <w:szCs w:val="20"/>
        </w:rPr>
        <w:tab/>
        <w:t xml:space="preserve">Hozho Center for Personal Development: The acquisition and rehabilitation are complete. As of the reporting date, </w:t>
      </w:r>
      <w:r w:rsidR="003E5365">
        <w:rPr>
          <w:rFonts w:ascii="Lato" w:hAnsi="Lato"/>
          <w:sz w:val="20"/>
          <w:szCs w:val="20"/>
        </w:rPr>
        <w:t>75.4</w:t>
      </w:r>
      <w:r w:rsidRPr="00B56FA4">
        <w:rPr>
          <w:rFonts w:ascii="Lato" w:hAnsi="Lato"/>
          <w:sz w:val="20"/>
          <w:szCs w:val="20"/>
        </w:rPr>
        <w:t xml:space="preserve">% of the awarded funds have been drawn, and the recovery housing has been put into service on January 2025. The center is currently servicing </w:t>
      </w:r>
      <w:r w:rsidR="003E5365">
        <w:rPr>
          <w:rFonts w:ascii="Lato" w:hAnsi="Lato"/>
          <w:sz w:val="20"/>
          <w:szCs w:val="20"/>
        </w:rPr>
        <w:t>twelve</w:t>
      </w:r>
      <w:r w:rsidRPr="00B56FA4">
        <w:rPr>
          <w:rFonts w:ascii="Lato" w:hAnsi="Lato"/>
          <w:sz w:val="20"/>
          <w:szCs w:val="20"/>
        </w:rPr>
        <w:t xml:space="preserve"> individuals to meet a 12-person capacity.</w:t>
      </w:r>
      <w:r w:rsidR="003E5365">
        <w:rPr>
          <w:rFonts w:ascii="Lato" w:hAnsi="Lato"/>
          <w:sz w:val="20"/>
          <w:szCs w:val="20"/>
        </w:rPr>
        <w:t xml:space="preserve"> In August of 2026, Hozho Center relocated to a new office space in Downtown Gallup, to serve more individuals in need and conduct street outreach.</w:t>
      </w:r>
    </w:p>
    <w:p w14:paraId="2FCA188D" w14:textId="71C58765" w:rsidR="0021763E" w:rsidRPr="00B56FA4" w:rsidRDefault="0021763E" w:rsidP="00B56FA4">
      <w:pPr>
        <w:ind w:left="720"/>
        <w:rPr>
          <w:rFonts w:ascii="Lato" w:hAnsi="Lato"/>
          <w:sz w:val="20"/>
          <w:szCs w:val="20"/>
        </w:rPr>
      </w:pPr>
      <w:r w:rsidRPr="00B56FA4">
        <w:rPr>
          <w:rFonts w:ascii="Lato" w:hAnsi="Lato"/>
          <w:sz w:val="20"/>
          <w:szCs w:val="20"/>
        </w:rPr>
        <w:t>•</w:t>
      </w:r>
      <w:r w:rsidRPr="00B56FA4">
        <w:rPr>
          <w:rFonts w:ascii="Lato" w:hAnsi="Lato"/>
          <w:sz w:val="20"/>
          <w:szCs w:val="20"/>
        </w:rPr>
        <w:tab/>
        <w:t xml:space="preserve">New Mexico Reentry Center: </w:t>
      </w:r>
      <w:r w:rsidR="003E5365">
        <w:rPr>
          <w:rFonts w:ascii="Lato" w:hAnsi="Lato"/>
          <w:sz w:val="20"/>
          <w:szCs w:val="20"/>
        </w:rPr>
        <w:t>In March of 2025, New Mexico Reentry Center secured the acquisition of a new recovery household. To date, New Mexico Reentry Center has served 113 individuals, provided rental assistance on 95 different occasions, and has helped 11 individuals transition into permanent housing. To date, New Mexico Reentry Center has expended 77.4% of their total award.</w:t>
      </w:r>
    </w:p>
    <w:p w14:paraId="771CB4A2" w14:textId="1EFF50D2" w:rsidR="0021763E" w:rsidRPr="00570A34" w:rsidRDefault="0021763E" w:rsidP="0021763E">
      <w:pPr>
        <w:rPr>
          <w:rFonts w:ascii="Lato" w:hAnsi="Lato"/>
          <w:b/>
          <w:bCs/>
          <w:sz w:val="20"/>
          <w:szCs w:val="20"/>
          <w:u w:val="single"/>
        </w:rPr>
      </w:pPr>
      <w:r w:rsidRPr="00570A34">
        <w:rPr>
          <w:rFonts w:ascii="Lato" w:hAnsi="Lato"/>
          <w:b/>
          <w:bCs/>
          <w:sz w:val="20"/>
          <w:szCs w:val="20"/>
          <w:u w:val="single"/>
        </w:rPr>
        <w:t>Awards – December 2024</w:t>
      </w:r>
    </w:p>
    <w:p w14:paraId="234A9BC5" w14:textId="77777777" w:rsidR="0021763E" w:rsidRPr="00B56FA4" w:rsidRDefault="0021763E" w:rsidP="0021763E">
      <w:pPr>
        <w:rPr>
          <w:rFonts w:ascii="Lato" w:hAnsi="Lato"/>
          <w:sz w:val="20"/>
          <w:szCs w:val="20"/>
        </w:rPr>
      </w:pPr>
      <w:proofErr w:type="spellStart"/>
      <w:r w:rsidRPr="00B56FA4">
        <w:rPr>
          <w:rFonts w:ascii="Lato" w:hAnsi="Lato"/>
          <w:sz w:val="20"/>
          <w:szCs w:val="20"/>
        </w:rPr>
        <w:t>TenderLove</w:t>
      </w:r>
      <w:proofErr w:type="spellEnd"/>
      <w:r w:rsidRPr="00B56FA4">
        <w:rPr>
          <w:rFonts w:ascii="Lato" w:hAnsi="Lato"/>
          <w:sz w:val="20"/>
          <w:szCs w:val="20"/>
        </w:rPr>
        <w:t xml:space="preserve"> Community Center</w:t>
      </w:r>
    </w:p>
    <w:p w14:paraId="0046A438" w14:textId="77777777" w:rsidR="0021763E" w:rsidRPr="00B56FA4" w:rsidRDefault="0021763E" w:rsidP="00570A34">
      <w:pPr>
        <w:ind w:firstLine="720"/>
        <w:rPr>
          <w:rFonts w:ascii="Lato" w:hAnsi="Lato"/>
          <w:sz w:val="20"/>
          <w:szCs w:val="20"/>
        </w:rPr>
      </w:pPr>
      <w:r w:rsidRPr="00B56FA4">
        <w:rPr>
          <w:rFonts w:ascii="Lato" w:hAnsi="Lato"/>
          <w:sz w:val="20"/>
          <w:szCs w:val="20"/>
        </w:rPr>
        <w:t>•</w:t>
      </w:r>
      <w:r w:rsidRPr="00B56FA4">
        <w:rPr>
          <w:rFonts w:ascii="Lato" w:hAnsi="Lato"/>
          <w:sz w:val="20"/>
          <w:szCs w:val="20"/>
        </w:rPr>
        <w:tab/>
        <w:t>Award: $1,200,000.00</w:t>
      </w:r>
    </w:p>
    <w:p w14:paraId="3116AF0B" w14:textId="556E7748" w:rsidR="0021763E" w:rsidRPr="00B56FA4" w:rsidRDefault="0021763E" w:rsidP="00570A34">
      <w:pPr>
        <w:ind w:left="720"/>
        <w:rPr>
          <w:rFonts w:ascii="Lato" w:hAnsi="Lato"/>
          <w:sz w:val="20"/>
          <w:szCs w:val="20"/>
        </w:rPr>
      </w:pPr>
      <w:r w:rsidRPr="00B56FA4">
        <w:rPr>
          <w:rFonts w:ascii="Lato" w:hAnsi="Lato"/>
          <w:sz w:val="20"/>
          <w:szCs w:val="20"/>
        </w:rPr>
        <w:t>•</w:t>
      </w:r>
      <w:r w:rsidRPr="00B56FA4">
        <w:rPr>
          <w:rFonts w:ascii="Lato" w:hAnsi="Lato"/>
          <w:sz w:val="20"/>
          <w:szCs w:val="20"/>
        </w:rPr>
        <w:tab/>
        <w:t xml:space="preserve">Project Description: </w:t>
      </w:r>
      <w:proofErr w:type="spellStart"/>
      <w:r w:rsidRPr="00B56FA4">
        <w:rPr>
          <w:rFonts w:ascii="Lato" w:hAnsi="Lato"/>
          <w:sz w:val="20"/>
          <w:szCs w:val="20"/>
        </w:rPr>
        <w:t>TenderLove</w:t>
      </w:r>
      <w:proofErr w:type="spellEnd"/>
      <w:r w:rsidRPr="00B56FA4">
        <w:rPr>
          <w:rFonts w:ascii="Lato" w:hAnsi="Lato"/>
          <w:sz w:val="20"/>
          <w:szCs w:val="20"/>
        </w:rPr>
        <w:t xml:space="preserve"> Community Center is an existing recovery housing provider that has provided Recovery Housing for </w:t>
      </w:r>
      <w:r w:rsidR="003E5365">
        <w:rPr>
          <w:rFonts w:ascii="Lato" w:hAnsi="Lato"/>
          <w:sz w:val="20"/>
          <w:szCs w:val="20"/>
        </w:rPr>
        <w:t>160</w:t>
      </w:r>
      <w:r w:rsidRPr="00B56FA4">
        <w:rPr>
          <w:rFonts w:ascii="Lato" w:hAnsi="Lato"/>
          <w:sz w:val="20"/>
          <w:szCs w:val="20"/>
        </w:rPr>
        <w:t xml:space="preserve"> individuals since receiving this award. </w:t>
      </w:r>
      <w:proofErr w:type="spellStart"/>
      <w:r w:rsidRPr="00B56FA4">
        <w:rPr>
          <w:rFonts w:ascii="Lato" w:hAnsi="Lato"/>
          <w:sz w:val="20"/>
          <w:szCs w:val="20"/>
        </w:rPr>
        <w:t>TenderLove</w:t>
      </w:r>
      <w:proofErr w:type="spellEnd"/>
      <w:r w:rsidRPr="00B56FA4">
        <w:rPr>
          <w:rFonts w:ascii="Lato" w:hAnsi="Lato"/>
          <w:sz w:val="20"/>
          <w:szCs w:val="20"/>
        </w:rPr>
        <w:t xml:space="preserve"> Community Center has finalized the purchase of a second recovery house as of August 2025. Through the help of this program, </w:t>
      </w:r>
      <w:proofErr w:type="spellStart"/>
      <w:r w:rsidRPr="00B56FA4">
        <w:rPr>
          <w:rFonts w:ascii="Lato" w:hAnsi="Lato"/>
          <w:sz w:val="20"/>
          <w:szCs w:val="20"/>
        </w:rPr>
        <w:t>TenderLove</w:t>
      </w:r>
      <w:proofErr w:type="spellEnd"/>
      <w:r w:rsidRPr="00B56FA4">
        <w:rPr>
          <w:rFonts w:ascii="Lato" w:hAnsi="Lato"/>
          <w:sz w:val="20"/>
          <w:szCs w:val="20"/>
        </w:rPr>
        <w:t xml:space="preserve"> Community Center has seen </w:t>
      </w:r>
      <w:r w:rsidR="003E5365">
        <w:rPr>
          <w:rFonts w:ascii="Lato" w:hAnsi="Lato"/>
          <w:sz w:val="20"/>
          <w:szCs w:val="20"/>
        </w:rPr>
        <w:t>129</w:t>
      </w:r>
      <w:r w:rsidRPr="00B56FA4">
        <w:rPr>
          <w:rFonts w:ascii="Lato" w:hAnsi="Lato"/>
          <w:sz w:val="20"/>
          <w:szCs w:val="20"/>
        </w:rPr>
        <w:t xml:space="preserve"> individuals transition to permanent housing. To date, </w:t>
      </w:r>
      <w:proofErr w:type="spellStart"/>
      <w:r w:rsidRPr="00B56FA4">
        <w:rPr>
          <w:rFonts w:ascii="Lato" w:hAnsi="Lato"/>
          <w:sz w:val="20"/>
          <w:szCs w:val="20"/>
        </w:rPr>
        <w:t>TenderLove</w:t>
      </w:r>
      <w:proofErr w:type="spellEnd"/>
      <w:r w:rsidRPr="00B56FA4">
        <w:rPr>
          <w:rFonts w:ascii="Lato" w:hAnsi="Lato"/>
          <w:sz w:val="20"/>
          <w:szCs w:val="20"/>
        </w:rPr>
        <w:t xml:space="preserve"> Community Center has spent </w:t>
      </w:r>
      <w:r w:rsidR="00580A57">
        <w:rPr>
          <w:rFonts w:ascii="Lato" w:hAnsi="Lato"/>
          <w:sz w:val="20"/>
          <w:szCs w:val="20"/>
        </w:rPr>
        <w:t>100</w:t>
      </w:r>
      <w:r w:rsidRPr="00B56FA4">
        <w:rPr>
          <w:rFonts w:ascii="Lato" w:hAnsi="Lato"/>
          <w:sz w:val="20"/>
          <w:szCs w:val="20"/>
        </w:rPr>
        <w:t>% of their total award.</w:t>
      </w:r>
    </w:p>
    <w:p w14:paraId="4E460367" w14:textId="77777777" w:rsidR="0021763E" w:rsidRPr="00B56FA4" w:rsidRDefault="0021763E" w:rsidP="0021763E">
      <w:pPr>
        <w:rPr>
          <w:rFonts w:ascii="Lato" w:hAnsi="Lato"/>
          <w:sz w:val="20"/>
          <w:szCs w:val="20"/>
        </w:rPr>
      </w:pPr>
      <w:r w:rsidRPr="00B56FA4">
        <w:rPr>
          <w:rFonts w:ascii="Lato" w:hAnsi="Lato"/>
          <w:sz w:val="20"/>
          <w:szCs w:val="20"/>
        </w:rPr>
        <w:t>Endorphin Power Company</w:t>
      </w:r>
    </w:p>
    <w:p w14:paraId="6EFD5670" w14:textId="77777777" w:rsidR="0021763E" w:rsidRPr="00B56FA4" w:rsidRDefault="0021763E" w:rsidP="00570A34">
      <w:pPr>
        <w:ind w:firstLine="720"/>
        <w:rPr>
          <w:rFonts w:ascii="Lato" w:hAnsi="Lato"/>
          <w:sz w:val="20"/>
          <w:szCs w:val="20"/>
        </w:rPr>
      </w:pPr>
      <w:r w:rsidRPr="00B56FA4">
        <w:rPr>
          <w:rFonts w:ascii="Lato" w:hAnsi="Lato"/>
          <w:sz w:val="20"/>
          <w:szCs w:val="20"/>
        </w:rPr>
        <w:t>•</w:t>
      </w:r>
      <w:r w:rsidRPr="00B56FA4">
        <w:rPr>
          <w:rFonts w:ascii="Lato" w:hAnsi="Lato"/>
          <w:sz w:val="20"/>
          <w:szCs w:val="20"/>
        </w:rPr>
        <w:tab/>
        <w:t>Award: $693,200.00</w:t>
      </w:r>
    </w:p>
    <w:p w14:paraId="07EA0698" w14:textId="2EA8C82B" w:rsidR="0021763E" w:rsidRPr="00B56FA4" w:rsidRDefault="0021763E" w:rsidP="00570A34">
      <w:pPr>
        <w:ind w:left="720"/>
        <w:rPr>
          <w:rFonts w:ascii="Lato" w:hAnsi="Lato"/>
          <w:sz w:val="20"/>
          <w:szCs w:val="20"/>
        </w:rPr>
      </w:pPr>
      <w:r w:rsidRPr="00B56FA4">
        <w:rPr>
          <w:rFonts w:ascii="Lato" w:hAnsi="Lato"/>
          <w:sz w:val="20"/>
          <w:szCs w:val="20"/>
        </w:rPr>
        <w:t>•</w:t>
      </w:r>
      <w:r w:rsidRPr="00B56FA4">
        <w:rPr>
          <w:rFonts w:ascii="Lato" w:hAnsi="Lato"/>
          <w:sz w:val="20"/>
          <w:szCs w:val="20"/>
        </w:rPr>
        <w:tab/>
        <w:t xml:space="preserve">Project Description: Endorphin Power Company aims to increase service capacity by providing housing for 10 additional individuals in one-bedroom units and additional units for family reunification. In March of 2025, Endorphin Power Company finalized the purchase of a new recovery household. </w:t>
      </w:r>
      <w:r w:rsidR="003E5365">
        <w:rPr>
          <w:rFonts w:ascii="Lato" w:hAnsi="Lato"/>
          <w:sz w:val="20"/>
          <w:szCs w:val="20"/>
        </w:rPr>
        <w:t>Six</w:t>
      </w:r>
      <w:r w:rsidRPr="00B56FA4">
        <w:rPr>
          <w:rFonts w:ascii="Lato" w:hAnsi="Lato"/>
          <w:sz w:val="20"/>
          <w:szCs w:val="20"/>
        </w:rPr>
        <w:t xml:space="preserve"> individuals have been admitted to the program, beginning in May of 2025, and 48% of the total award has been expended.</w:t>
      </w:r>
    </w:p>
    <w:p w14:paraId="380BAB18" w14:textId="7525C211" w:rsidR="0021763E" w:rsidRPr="00B56FA4" w:rsidRDefault="0021763E" w:rsidP="0021763E">
      <w:pPr>
        <w:rPr>
          <w:rFonts w:ascii="Lato" w:hAnsi="Lato"/>
          <w:sz w:val="20"/>
          <w:szCs w:val="20"/>
        </w:rPr>
      </w:pPr>
      <w:r w:rsidRPr="00B56FA4">
        <w:rPr>
          <w:rFonts w:ascii="Lato" w:hAnsi="Lato"/>
          <w:sz w:val="20"/>
          <w:szCs w:val="20"/>
        </w:rPr>
        <w:t xml:space="preserve">These two awards fully allocate RHP funding through FY2023. </w:t>
      </w:r>
    </w:p>
    <w:p w14:paraId="4F190ED1" w14:textId="13639F3F" w:rsidR="00995719" w:rsidRDefault="00995719" w:rsidP="0021763E">
      <w:pPr>
        <w:rPr>
          <w:rFonts w:ascii="Lato" w:hAnsi="Lato"/>
          <w:b/>
          <w:bCs/>
          <w:sz w:val="20"/>
          <w:szCs w:val="20"/>
          <w:u w:val="single"/>
        </w:rPr>
      </w:pPr>
      <w:r w:rsidRPr="00995719">
        <w:rPr>
          <w:rFonts w:ascii="Lato" w:hAnsi="Lato"/>
          <w:b/>
          <w:bCs/>
          <w:sz w:val="20"/>
          <w:szCs w:val="20"/>
          <w:u w:val="single"/>
        </w:rPr>
        <w:t>Notice to Citizens and Public Comment Period</w:t>
      </w:r>
    </w:p>
    <w:p w14:paraId="2271C873" w14:textId="70F063DE" w:rsidR="00995719" w:rsidRPr="00995719" w:rsidRDefault="00270DB0" w:rsidP="0021763E">
      <w:pPr>
        <w:rPr>
          <w:rFonts w:ascii="Lato" w:hAnsi="Lato"/>
          <w:sz w:val="20"/>
          <w:szCs w:val="20"/>
        </w:rPr>
      </w:pPr>
      <w:r>
        <w:rPr>
          <w:rFonts w:ascii="Lato" w:hAnsi="Lato"/>
          <w:sz w:val="20"/>
          <w:szCs w:val="20"/>
        </w:rPr>
        <w:t>A Public Comment Period began on September 30</w:t>
      </w:r>
      <w:r w:rsidRPr="00270DB0">
        <w:rPr>
          <w:rFonts w:ascii="Lato" w:hAnsi="Lato"/>
          <w:sz w:val="20"/>
          <w:szCs w:val="20"/>
          <w:vertAlign w:val="superscript"/>
        </w:rPr>
        <w:t>th</w:t>
      </w:r>
      <w:r>
        <w:rPr>
          <w:rFonts w:ascii="Lato" w:hAnsi="Lato"/>
          <w:sz w:val="20"/>
          <w:szCs w:val="20"/>
        </w:rPr>
        <w:t xml:space="preserve">, 2025. </w:t>
      </w:r>
      <w:r w:rsidR="00995719" w:rsidRPr="00995719">
        <w:rPr>
          <w:rFonts w:ascii="Lato" w:hAnsi="Lato"/>
          <w:sz w:val="20"/>
          <w:szCs w:val="20"/>
        </w:rPr>
        <w:t xml:space="preserve">The Public Notice and FY25 Performance </w:t>
      </w:r>
      <w:r w:rsidR="00DE4253">
        <w:rPr>
          <w:rFonts w:ascii="Lato" w:hAnsi="Lato"/>
          <w:sz w:val="20"/>
          <w:szCs w:val="20"/>
        </w:rPr>
        <w:t>R</w:t>
      </w:r>
      <w:r w:rsidR="00995719" w:rsidRPr="00995719">
        <w:rPr>
          <w:rFonts w:ascii="Lato" w:hAnsi="Lato"/>
          <w:sz w:val="20"/>
          <w:szCs w:val="20"/>
        </w:rPr>
        <w:t xml:space="preserve">eport were published in </w:t>
      </w:r>
      <w:r>
        <w:rPr>
          <w:rFonts w:ascii="Lato" w:hAnsi="Lato"/>
          <w:sz w:val="20"/>
          <w:szCs w:val="20"/>
        </w:rPr>
        <w:t>September</w:t>
      </w:r>
      <w:r w:rsidR="00995719" w:rsidRPr="00995719">
        <w:rPr>
          <w:rFonts w:ascii="Lato" w:hAnsi="Lato"/>
          <w:sz w:val="20"/>
          <w:szCs w:val="20"/>
        </w:rPr>
        <w:t>, in 6 newspapers across the State of New Mexico</w:t>
      </w:r>
      <w:r w:rsidR="0097357D">
        <w:rPr>
          <w:rFonts w:ascii="Lato" w:hAnsi="Lato"/>
          <w:sz w:val="20"/>
          <w:szCs w:val="20"/>
        </w:rPr>
        <w:t>, and on both the Housing New Mexico and Department of Finance and Administration’s websites</w:t>
      </w:r>
      <w:r w:rsidR="00995719" w:rsidRPr="00995719">
        <w:rPr>
          <w:rFonts w:ascii="Lato" w:hAnsi="Lato"/>
          <w:sz w:val="20"/>
          <w:szCs w:val="20"/>
        </w:rPr>
        <w:t>.</w:t>
      </w:r>
      <w:r w:rsidR="00995719">
        <w:rPr>
          <w:rFonts w:ascii="Lato" w:hAnsi="Lato"/>
          <w:sz w:val="20"/>
          <w:szCs w:val="20"/>
        </w:rPr>
        <w:t xml:space="preserve"> </w:t>
      </w:r>
      <w:r>
        <w:rPr>
          <w:rFonts w:ascii="Lato" w:hAnsi="Lato"/>
          <w:sz w:val="20"/>
          <w:szCs w:val="20"/>
        </w:rPr>
        <w:t>A Public Hearing was held virtually on October 14</w:t>
      </w:r>
      <w:r w:rsidRPr="00270DB0">
        <w:rPr>
          <w:rFonts w:ascii="Lato" w:hAnsi="Lato"/>
          <w:sz w:val="20"/>
          <w:szCs w:val="20"/>
          <w:vertAlign w:val="superscript"/>
        </w:rPr>
        <w:t>th</w:t>
      </w:r>
      <w:r>
        <w:rPr>
          <w:rFonts w:ascii="Lato" w:hAnsi="Lato"/>
          <w:sz w:val="20"/>
          <w:szCs w:val="20"/>
        </w:rPr>
        <w:t xml:space="preserve">. </w:t>
      </w:r>
      <w:r w:rsidR="00995719">
        <w:rPr>
          <w:rFonts w:ascii="Lato" w:hAnsi="Lato"/>
          <w:sz w:val="20"/>
          <w:szCs w:val="20"/>
        </w:rPr>
        <w:t>No comments were received during the Public Comment Period. Affidavits of the Publication have been obtained.</w:t>
      </w:r>
    </w:p>
    <w:p w14:paraId="54E8DD39" w14:textId="0C6CB394" w:rsidR="0021763E" w:rsidRPr="00995719" w:rsidRDefault="00B316D1" w:rsidP="0021763E">
      <w:pPr>
        <w:rPr>
          <w:rFonts w:ascii="Lato" w:hAnsi="Lato"/>
          <w:sz w:val="20"/>
          <w:szCs w:val="20"/>
        </w:rPr>
      </w:pPr>
      <w:r>
        <w:rPr>
          <w:rFonts w:ascii="Lato" w:hAnsi="Lato"/>
          <w:b/>
          <w:bCs/>
          <w:sz w:val="20"/>
          <w:szCs w:val="20"/>
          <w:u w:val="single"/>
        </w:rPr>
        <w:t>October 30, 2025 – Annual Reporting</w:t>
      </w:r>
      <w:r w:rsidR="0097357D">
        <w:rPr>
          <w:rFonts w:ascii="Lato" w:hAnsi="Lato"/>
          <w:b/>
          <w:bCs/>
          <w:sz w:val="20"/>
          <w:szCs w:val="20"/>
          <w:u w:val="single"/>
        </w:rPr>
        <w:t xml:space="preserve"> &amp; New Awards</w:t>
      </w:r>
    </w:p>
    <w:p w14:paraId="1ACE623A" w14:textId="11212C97" w:rsidR="0021763E" w:rsidRDefault="0021763E" w:rsidP="0021763E">
      <w:pPr>
        <w:rPr>
          <w:rFonts w:ascii="Lato" w:hAnsi="Lato"/>
          <w:sz w:val="20"/>
          <w:szCs w:val="20"/>
        </w:rPr>
      </w:pPr>
      <w:r w:rsidRPr="00B56FA4">
        <w:rPr>
          <w:rFonts w:ascii="Lato" w:hAnsi="Lato"/>
          <w:sz w:val="20"/>
          <w:szCs w:val="20"/>
        </w:rPr>
        <w:t xml:space="preserve">As a result of the approval of the </w:t>
      </w:r>
      <w:r w:rsidR="0097357D">
        <w:rPr>
          <w:rFonts w:ascii="Lato" w:hAnsi="Lato"/>
          <w:sz w:val="20"/>
          <w:szCs w:val="20"/>
        </w:rPr>
        <w:t xml:space="preserve">FY25 </w:t>
      </w:r>
      <w:r w:rsidRPr="00B56FA4">
        <w:rPr>
          <w:rFonts w:ascii="Lato" w:hAnsi="Lato"/>
          <w:sz w:val="20"/>
          <w:szCs w:val="20"/>
        </w:rPr>
        <w:t xml:space="preserve">Action Plan and NOFA amendments, Housing New Mexico followed the Citizen Participation Plan process to ensure that information </w:t>
      </w:r>
      <w:r w:rsidR="0097357D">
        <w:rPr>
          <w:rFonts w:ascii="Lato" w:hAnsi="Lato"/>
          <w:sz w:val="20"/>
          <w:szCs w:val="20"/>
        </w:rPr>
        <w:t>was</w:t>
      </w:r>
      <w:r w:rsidRPr="00B56FA4">
        <w:rPr>
          <w:rFonts w:ascii="Lato" w:hAnsi="Lato"/>
          <w:sz w:val="20"/>
          <w:szCs w:val="20"/>
        </w:rPr>
        <w:t xml:space="preserve"> available regarding the timeline for applying. </w:t>
      </w:r>
      <w:r w:rsidR="0097357D">
        <w:rPr>
          <w:rFonts w:ascii="Lato" w:hAnsi="Lato"/>
          <w:sz w:val="20"/>
          <w:szCs w:val="20"/>
        </w:rPr>
        <w:t xml:space="preserve">Housing New Mexico received seven RHP NOFA applications. Six applicants reached the threshold for receiving an award, while one did not fit the criteria. </w:t>
      </w:r>
      <w:r w:rsidRPr="00B56FA4">
        <w:rPr>
          <w:rFonts w:ascii="Lato" w:hAnsi="Lato"/>
          <w:sz w:val="20"/>
          <w:szCs w:val="20"/>
        </w:rPr>
        <w:t xml:space="preserve">RHP contracts </w:t>
      </w:r>
      <w:r w:rsidR="0097357D">
        <w:rPr>
          <w:rFonts w:ascii="Lato" w:hAnsi="Lato"/>
          <w:sz w:val="20"/>
          <w:szCs w:val="20"/>
        </w:rPr>
        <w:t>were</w:t>
      </w:r>
      <w:r w:rsidRPr="00B56FA4">
        <w:rPr>
          <w:rFonts w:ascii="Lato" w:hAnsi="Lato"/>
          <w:sz w:val="20"/>
          <w:szCs w:val="20"/>
        </w:rPr>
        <w:t xml:space="preserve"> executed</w:t>
      </w:r>
      <w:r w:rsidR="0097357D">
        <w:rPr>
          <w:rFonts w:ascii="Lato" w:hAnsi="Lato"/>
          <w:sz w:val="20"/>
          <w:szCs w:val="20"/>
        </w:rPr>
        <w:t xml:space="preserve"> in July 2026.</w:t>
      </w:r>
      <w:r w:rsidRPr="00B56FA4">
        <w:rPr>
          <w:rFonts w:ascii="Lato" w:hAnsi="Lato"/>
          <w:sz w:val="20"/>
          <w:szCs w:val="20"/>
        </w:rPr>
        <w:t xml:space="preserve"> Housing New Mexico </w:t>
      </w:r>
      <w:r w:rsidR="0097357D">
        <w:rPr>
          <w:rFonts w:ascii="Lato" w:hAnsi="Lato"/>
          <w:sz w:val="20"/>
          <w:szCs w:val="20"/>
        </w:rPr>
        <w:t>provided</w:t>
      </w:r>
      <w:r w:rsidRPr="00B56FA4">
        <w:rPr>
          <w:rFonts w:ascii="Lato" w:hAnsi="Lato"/>
          <w:sz w:val="20"/>
          <w:szCs w:val="20"/>
        </w:rPr>
        <w:t xml:space="preserve"> training and support to all RHP providers in order to comply with </w:t>
      </w:r>
      <w:r w:rsidRPr="00B56FA4">
        <w:rPr>
          <w:rFonts w:ascii="Lato" w:hAnsi="Lato"/>
          <w:sz w:val="20"/>
          <w:szCs w:val="20"/>
        </w:rPr>
        <w:lastRenderedPageBreak/>
        <w:t>federal grant regulations</w:t>
      </w:r>
      <w:r w:rsidR="0097357D">
        <w:rPr>
          <w:rFonts w:ascii="Lato" w:hAnsi="Lato"/>
          <w:sz w:val="20"/>
          <w:szCs w:val="20"/>
        </w:rPr>
        <w:t xml:space="preserve"> and conducted an onboarding training for all new providers</w:t>
      </w:r>
      <w:r w:rsidRPr="00B56FA4">
        <w:rPr>
          <w:rFonts w:ascii="Lato" w:hAnsi="Lato"/>
          <w:sz w:val="20"/>
          <w:szCs w:val="20"/>
        </w:rPr>
        <w:t>.</w:t>
      </w:r>
      <w:r w:rsidR="00570A34">
        <w:rPr>
          <w:rFonts w:ascii="Lato" w:hAnsi="Lato"/>
          <w:sz w:val="20"/>
          <w:szCs w:val="20"/>
        </w:rPr>
        <w:t xml:space="preserve"> All four</w:t>
      </w:r>
      <w:r w:rsidR="0097357D">
        <w:rPr>
          <w:rFonts w:ascii="Lato" w:hAnsi="Lato"/>
          <w:sz w:val="20"/>
          <w:szCs w:val="20"/>
        </w:rPr>
        <w:t xml:space="preserve"> original service</w:t>
      </w:r>
      <w:r w:rsidR="00570A34">
        <w:rPr>
          <w:rFonts w:ascii="Lato" w:hAnsi="Lato"/>
          <w:sz w:val="20"/>
          <w:szCs w:val="20"/>
        </w:rPr>
        <w:t xml:space="preserve"> providers </w:t>
      </w:r>
      <w:r w:rsidR="0097357D">
        <w:rPr>
          <w:rFonts w:ascii="Lato" w:hAnsi="Lato"/>
          <w:sz w:val="20"/>
          <w:szCs w:val="20"/>
        </w:rPr>
        <w:t>were</w:t>
      </w:r>
      <w:r w:rsidR="00570A34">
        <w:rPr>
          <w:rFonts w:ascii="Lato" w:hAnsi="Lato"/>
          <w:sz w:val="20"/>
          <w:szCs w:val="20"/>
        </w:rPr>
        <w:t xml:space="preserve"> monitored for compliance with 2 CFR 200 and all RHP regulations during the reporting period.</w:t>
      </w:r>
    </w:p>
    <w:p w14:paraId="16C2D42B" w14:textId="5A245BE4" w:rsidR="00945804" w:rsidRDefault="00945804" w:rsidP="0021763E">
      <w:pPr>
        <w:rPr>
          <w:rFonts w:ascii="Lato" w:hAnsi="Lato"/>
          <w:sz w:val="20"/>
          <w:szCs w:val="20"/>
        </w:rPr>
      </w:pPr>
      <w:r>
        <w:rPr>
          <w:rFonts w:ascii="Lato" w:hAnsi="Lato"/>
          <w:sz w:val="20"/>
          <w:szCs w:val="20"/>
        </w:rPr>
        <w:t>These six awards fully allocate RHP funding through FY2025.</w:t>
      </w:r>
    </w:p>
    <w:p w14:paraId="39648C92" w14:textId="77777777" w:rsidR="00DE4253" w:rsidRDefault="00DE4253" w:rsidP="00DE4253">
      <w:pPr>
        <w:rPr>
          <w:rFonts w:ascii="Lato" w:hAnsi="Lato"/>
          <w:b/>
          <w:bCs/>
          <w:sz w:val="20"/>
          <w:szCs w:val="20"/>
          <w:u w:val="single"/>
        </w:rPr>
      </w:pPr>
      <w:r w:rsidRPr="00995719">
        <w:rPr>
          <w:rFonts w:ascii="Lato" w:hAnsi="Lato"/>
          <w:b/>
          <w:bCs/>
          <w:sz w:val="20"/>
          <w:szCs w:val="20"/>
          <w:u w:val="single"/>
        </w:rPr>
        <w:t>Notice to Citizens and Public Comment Period</w:t>
      </w:r>
    </w:p>
    <w:p w14:paraId="6171887D" w14:textId="74B842E1" w:rsidR="00DE4253" w:rsidRDefault="00DE4253" w:rsidP="00DE4253">
      <w:pPr>
        <w:rPr>
          <w:rFonts w:ascii="Lato" w:hAnsi="Lato"/>
          <w:sz w:val="20"/>
          <w:szCs w:val="20"/>
        </w:rPr>
      </w:pPr>
      <w:r>
        <w:rPr>
          <w:rFonts w:ascii="Lato" w:hAnsi="Lato"/>
          <w:sz w:val="20"/>
          <w:szCs w:val="20"/>
        </w:rPr>
        <w:t>A Public Comment Period will begin on September 28</w:t>
      </w:r>
      <w:r w:rsidRPr="00270DB0">
        <w:rPr>
          <w:rFonts w:ascii="Lato" w:hAnsi="Lato"/>
          <w:sz w:val="20"/>
          <w:szCs w:val="20"/>
          <w:vertAlign w:val="superscript"/>
        </w:rPr>
        <w:t>th</w:t>
      </w:r>
      <w:r>
        <w:rPr>
          <w:rFonts w:ascii="Lato" w:hAnsi="Lato"/>
          <w:sz w:val="20"/>
          <w:szCs w:val="20"/>
        </w:rPr>
        <w:t xml:space="preserve">, 2026. </w:t>
      </w:r>
      <w:r w:rsidRPr="00995719">
        <w:rPr>
          <w:rFonts w:ascii="Lato" w:hAnsi="Lato"/>
          <w:sz w:val="20"/>
          <w:szCs w:val="20"/>
        </w:rPr>
        <w:t>The Public Notice and FY2</w:t>
      </w:r>
      <w:r>
        <w:rPr>
          <w:rFonts w:ascii="Lato" w:hAnsi="Lato"/>
          <w:sz w:val="20"/>
          <w:szCs w:val="20"/>
        </w:rPr>
        <w:t>6</w:t>
      </w:r>
      <w:r w:rsidRPr="00995719">
        <w:rPr>
          <w:rFonts w:ascii="Lato" w:hAnsi="Lato"/>
          <w:sz w:val="20"/>
          <w:szCs w:val="20"/>
        </w:rPr>
        <w:t xml:space="preserve"> Performance </w:t>
      </w:r>
      <w:r>
        <w:rPr>
          <w:rFonts w:ascii="Lato" w:hAnsi="Lato"/>
          <w:sz w:val="20"/>
          <w:szCs w:val="20"/>
        </w:rPr>
        <w:t>R</w:t>
      </w:r>
      <w:r w:rsidRPr="00995719">
        <w:rPr>
          <w:rFonts w:ascii="Lato" w:hAnsi="Lato"/>
          <w:sz w:val="20"/>
          <w:szCs w:val="20"/>
        </w:rPr>
        <w:t>eport w</w:t>
      </w:r>
      <w:r>
        <w:rPr>
          <w:rFonts w:ascii="Lato" w:hAnsi="Lato"/>
          <w:sz w:val="20"/>
          <w:szCs w:val="20"/>
        </w:rPr>
        <w:t>ill be</w:t>
      </w:r>
      <w:r w:rsidRPr="00995719">
        <w:rPr>
          <w:rFonts w:ascii="Lato" w:hAnsi="Lato"/>
          <w:sz w:val="20"/>
          <w:szCs w:val="20"/>
        </w:rPr>
        <w:t xml:space="preserve"> published </w:t>
      </w:r>
      <w:r>
        <w:rPr>
          <w:rFonts w:ascii="Lato" w:hAnsi="Lato"/>
          <w:sz w:val="20"/>
          <w:szCs w:val="20"/>
        </w:rPr>
        <w:t>on</w:t>
      </w:r>
      <w:r w:rsidRPr="00995719">
        <w:rPr>
          <w:rFonts w:ascii="Lato" w:hAnsi="Lato"/>
          <w:sz w:val="20"/>
          <w:szCs w:val="20"/>
        </w:rPr>
        <w:t xml:space="preserve"> </w:t>
      </w:r>
      <w:r>
        <w:rPr>
          <w:rFonts w:ascii="Lato" w:hAnsi="Lato"/>
          <w:sz w:val="20"/>
          <w:szCs w:val="20"/>
        </w:rPr>
        <w:t>September 28</w:t>
      </w:r>
      <w:r w:rsidRPr="00995719">
        <w:rPr>
          <w:rFonts w:ascii="Lato" w:hAnsi="Lato"/>
          <w:sz w:val="20"/>
          <w:szCs w:val="20"/>
        </w:rPr>
        <w:t>, in 6 newspapers across the State of New Mexico</w:t>
      </w:r>
      <w:r>
        <w:rPr>
          <w:rFonts w:ascii="Lato" w:hAnsi="Lato"/>
          <w:sz w:val="20"/>
          <w:szCs w:val="20"/>
        </w:rPr>
        <w:t>, and on both the Housing New Mexico and Department of Finance and Administration’s websites</w:t>
      </w:r>
      <w:r w:rsidRPr="00995719">
        <w:rPr>
          <w:rFonts w:ascii="Lato" w:hAnsi="Lato"/>
          <w:sz w:val="20"/>
          <w:szCs w:val="20"/>
        </w:rPr>
        <w:t>.</w:t>
      </w:r>
      <w:r>
        <w:rPr>
          <w:rFonts w:ascii="Lato" w:hAnsi="Lato"/>
          <w:sz w:val="20"/>
          <w:szCs w:val="20"/>
        </w:rPr>
        <w:t xml:space="preserve"> A Public Hearing will </w:t>
      </w:r>
      <w:r w:rsidR="00945804">
        <w:rPr>
          <w:rFonts w:ascii="Lato" w:hAnsi="Lato"/>
          <w:sz w:val="20"/>
          <w:szCs w:val="20"/>
        </w:rPr>
        <w:t xml:space="preserve">be </w:t>
      </w:r>
      <w:r>
        <w:rPr>
          <w:rFonts w:ascii="Lato" w:hAnsi="Lato"/>
          <w:sz w:val="20"/>
          <w:szCs w:val="20"/>
        </w:rPr>
        <w:t>held virtually on October 14</w:t>
      </w:r>
      <w:r w:rsidRPr="00270DB0">
        <w:rPr>
          <w:rFonts w:ascii="Lato" w:hAnsi="Lato"/>
          <w:sz w:val="20"/>
          <w:szCs w:val="20"/>
          <w:vertAlign w:val="superscript"/>
        </w:rPr>
        <w:t>th</w:t>
      </w:r>
      <w:r>
        <w:rPr>
          <w:rFonts w:ascii="Lato" w:hAnsi="Lato"/>
          <w:sz w:val="20"/>
          <w:szCs w:val="20"/>
        </w:rPr>
        <w:t xml:space="preserve"> at 2:00pm. All comments received during the Public Comment Period and Public Hearing will be addressed and documented. Affidavits of the Publication will be obtained.</w:t>
      </w:r>
    </w:p>
    <w:p w14:paraId="620B61D1" w14:textId="4618B1D6" w:rsidR="002F6DB8" w:rsidRDefault="002F6DB8" w:rsidP="00DE4253">
      <w:pPr>
        <w:rPr>
          <w:rFonts w:ascii="Lato" w:hAnsi="Lato"/>
          <w:b/>
          <w:bCs/>
          <w:sz w:val="20"/>
          <w:szCs w:val="20"/>
          <w:u w:val="single"/>
        </w:rPr>
      </w:pPr>
      <w:r w:rsidRPr="002F6DB8">
        <w:rPr>
          <w:rFonts w:ascii="Lato" w:hAnsi="Lato"/>
          <w:b/>
          <w:bCs/>
          <w:sz w:val="20"/>
          <w:szCs w:val="20"/>
          <w:u w:val="single"/>
        </w:rPr>
        <w:t>Recovery Housing Program – Next Steps</w:t>
      </w:r>
    </w:p>
    <w:p w14:paraId="79693229" w14:textId="5C6B256F" w:rsidR="002F6DB8" w:rsidRPr="002F6DB8" w:rsidRDefault="002F6DB8" w:rsidP="00DE4253">
      <w:pPr>
        <w:rPr>
          <w:rFonts w:ascii="Lato" w:hAnsi="Lato"/>
          <w:sz w:val="20"/>
          <w:szCs w:val="20"/>
        </w:rPr>
      </w:pPr>
      <w:r>
        <w:rPr>
          <w:rFonts w:ascii="Lato" w:hAnsi="Lato"/>
          <w:sz w:val="20"/>
          <w:szCs w:val="20"/>
        </w:rPr>
        <w:t>Upon execution of the FY26 RHP Grant Agreement between the State and the Department of Housing and Urban Development, and the execution of the RHP Grant Agreement between the State and Housing New Mexico, Housing New Mexico will open a Notice of Funding Availability to elicit qualified applicants for the Recovery Housing Program in order to allocate all FY26 RHP funds.</w:t>
      </w:r>
    </w:p>
    <w:p w14:paraId="2AF286B1" w14:textId="5431EE3F" w:rsidR="0021763E" w:rsidRPr="00B56FA4" w:rsidRDefault="0021763E" w:rsidP="0021763E">
      <w:pPr>
        <w:rPr>
          <w:rFonts w:ascii="Lato" w:hAnsi="Lato"/>
          <w:sz w:val="20"/>
          <w:szCs w:val="20"/>
        </w:rPr>
      </w:pPr>
      <w:r w:rsidRPr="00570A34">
        <w:rPr>
          <w:rFonts w:ascii="Lato" w:hAnsi="Lato"/>
          <w:b/>
          <w:bCs/>
          <w:sz w:val="20"/>
          <w:szCs w:val="20"/>
          <w:u w:val="single"/>
        </w:rPr>
        <w:t>Conclusion</w:t>
      </w:r>
    </w:p>
    <w:p w14:paraId="4109860D" w14:textId="3525FDCE" w:rsidR="0021763E" w:rsidRPr="00B56FA4" w:rsidRDefault="0021763E" w:rsidP="0021763E">
      <w:pPr>
        <w:rPr>
          <w:rFonts w:ascii="Lato" w:hAnsi="Lato"/>
          <w:sz w:val="20"/>
          <w:szCs w:val="20"/>
        </w:rPr>
      </w:pPr>
      <w:r w:rsidRPr="00B56FA4">
        <w:rPr>
          <w:rFonts w:ascii="Lato" w:hAnsi="Lato"/>
          <w:sz w:val="20"/>
          <w:szCs w:val="20"/>
        </w:rPr>
        <w:t>The Recovery Housing Program has made meaningful progress in meeting the needs of individuals impacted by substance use disorders in New Mexico. Despite challenges such as the return of funds and unexpected project delays, Housing New Mexico remains committed to ensuring the successful deployment of RHP funds.</w:t>
      </w:r>
    </w:p>
    <w:p w14:paraId="1A1835FC" w14:textId="4B08396C" w:rsidR="0021763E" w:rsidRDefault="0021763E" w:rsidP="002B14BE">
      <w:pPr>
        <w:tabs>
          <w:tab w:val="left" w:pos="1410"/>
        </w:tabs>
        <w:rPr>
          <w:rFonts w:ascii="Lato" w:hAnsi="Lato"/>
          <w:b/>
          <w:bCs/>
          <w:sz w:val="20"/>
          <w:szCs w:val="20"/>
          <w:u w:val="single"/>
        </w:rPr>
      </w:pPr>
      <w:r w:rsidRPr="00570A34">
        <w:rPr>
          <w:rFonts w:ascii="Lato" w:hAnsi="Lato"/>
          <w:b/>
          <w:bCs/>
          <w:sz w:val="20"/>
          <w:szCs w:val="20"/>
          <w:u w:val="single"/>
        </w:rPr>
        <w:t>Measures</w:t>
      </w:r>
    </w:p>
    <w:tbl>
      <w:tblPr>
        <w:tblStyle w:val="TableGrid"/>
        <w:tblW w:w="0" w:type="auto"/>
        <w:tblLook w:val="04A0" w:firstRow="1" w:lastRow="0" w:firstColumn="1" w:lastColumn="0" w:noHBand="0" w:noVBand="1"/>
      </w:tblPr>
      <w:tblGrid>
        <w:gridCol w:w="2337"/>
        <w:gridCol w:w="2337"/>
        <w:gridCol w:w="2338"/>
        <w:gridCol w:w="2338"/>
      </w:tblGrid>
      <w:tr w:rsidR="002B14BE" w14:paraId="2564F7F8" w14:textId="77777777" w:rsidTr="000D7516">
        <w:tc>
          <w:tcPr>
            <w:tcW w:w="2337" w:type="dxa"/>
          </w:tcPr>
          <w:p w14:paraId="44C9034C"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Accomplishments</w:t>
            </w:r>
          </w:p>
        </w:tc>
        <w:tc>
          <w:tcPr>
            <w:tcW w:w="2337" w:type="dxa"/>
          </w:tcPr>
          <w:p w14:paraId="6E9053D9"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Projected</w:t>
            </w:r>
          </w:p>
        </w:tc>
        <w:tc>
          <w:tcPr>
            <w:tcW w:w="2338" w:type="dxa"/>
          </w:tcPr>
          <w:p w14:paraId="31ED927C"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This Report Period</w:t>
            </w:r>
          </w:p>
        </w:tc>
        <w:tc>
          <w:tcPr>
            <w:tcW w:w="2338" w:type="dxa"/>
          </w:tcPr>
          <w:p w14:paraId="02197332"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To Date</w:t>
            </w:r>
          </w:p>
        </w:tc>
      </w:tr>
      <w:tr w:rsidR="002B14BE" w14:paraId="2ED26900" w14:textId="77777777" w:rsidTr="000D7516">
        <w:tc>
          <w:tcPr>
            <w:tcW w:w="2337" w:type="dxa"/>
          </w:tcPr>
          <w:p w14:paraId="2D899E6B" w14:textId="77777777" w:rsidR="002B14BE" w:rsidRPr="005062F2" w:rsidRDefault="002B14BE" w:rsidP="000D7516">
            <w:pPr>
              <w:rPr>
                <w:rFonts w:ascii="Segoe UI" w:hAnsi="Segoe UI" w:cs="Segoe UI"/>
                <w:b/>
                <w:bCs/>
                <w:color w:val="212529"/>
                <w:sz w:val="18"/>
                <w:szCs w:val="18"/>
                <w:u w:val="single"/>
              </w:rPr>
            </w:pPr>
            <w:r w:rsidRPr="005062F2">
              <w:rPr>
                <w:rFonts w:ascii="Segoe UI" w:hAnsi="Segoe UI" w:cs="Segoe UI"/>
                <w:b/>
                <w:bCs/>
                <w:color w:val="212529"/>
                <w:sz w:val="18"/>
                <w:szCs w:val="18"/>
                <w:u w:val="single"/>
              </w:rPr>
              <w:t>Performance Measure</w:t>
            </w:r>
          </w:p>
        </w:tc>
        <w:tc>
          <w:tcPr>
            <w:tcW w:w="2337" w:type="dxa"/>
          </w:tcPr>
          <w:p w14:paraId="138F37A1" w14:textId="77777777" w:rsidR="002B14BE" w:rsidRDefault="002B14BE" w:rsidP="000D7516">
            <w:pPr>
              <w:rPr>
                <w:rFonts w:ascii="Segoe UI" w:hAnsi="Segoe UI" w:cs="Segoe UI"/>
                <w:b/>
                <w:bCs/>
                <w:color w:val="212529"/>
                <w:sz w:val="21"/>
                <w:szCs w:val="21"/>
                <w:u w:val="single"/>
              </w:rPr>
            </w:pPr>
          </w:p>
        </w:tc>
        <w:tc>
          <w:tcPr>
            <w:tcW w:w="2338" w:type="dxa"/>
          </w:tcPr>
          <w:p w14:paraId="7855DD46" w14:textId="77777777" w:rsidR="002B14BE" w:rsidRDefault="002B14BE" w:rsidP="000D7516">
            <w:pPr>
              <w:rPr>
                <w:rFonts w:ascii="Segoe UI" w:hAnsi="Segoe UI" w:cs="Segoe UI"/>
                <w:b/>
                <w:bCs/>
                <w:color w:val="212529"/>
                <w:sz w:val="21"/>
                <w:szCs w:val="21"/>
                <w:u w:val="single"/>
              </w:rPr>
            </w:pPr>
          </w:p>
        </w:tc>
        <w:tc>
          <w:tcPr>
            <w:tcW w:w="2338" w:type="dxa"/>
          </w:tcPr>
          <w:p w14:paraId="1116B2B4" w14:textId="77777777" w:rsidR="002B14BE" w:rsidRDefault="002B14BE" w:rsidP="000D7516">
            <w:pPr>
              <w:rPr>
                <w:rFonts w:ascii="Segoe UI" w:hAnsi="Segoe UI" w:cs="Segoe UI"/>
                <w:b/>
                <w:bCs/>
                <w:color w:val="212529"/>
                <w:sz w:val="21"/>
                <w:szCs w:val="21"/>
                <w:u w:val="single"/>
              </w:rPr>
            </w:pPr>
          </w:p>
        </w:tc>
      </w:tr>
      <w:tr w:rsidR="002B14BE" w14:paraId="0770A7E4" w14:textId="77777777" w:rsidTr="000D7516">
        <w:tc>
          <w:tcPr>
            <w:tcW w:w="2337" w:type="dxa"/>
          </w:tcPr>
          <w:p w14:paraId="5912F506" w14:textId="77777777" w:rsidR="002B14BE" w:rsidRPr="00905920" w:rsidRDefault="002B14BE" w:rsidP="000D7516">
            <w:pPr>
              <w:rPr>
                <w:rFonts w:ascii="Segoe UI" w:hAnsi="Segoe UI" w:cs="Segoe UI"/>
                <w:b/>
                <w:bCs/>
                <w:color w:val="212529"/>
                <w:sz w:val="21"/>
                <w:szCs w:val="21"/>
              </w:rPr>
            </w:pPr>
            <w:r w:rsidRPr="00905920">
              <w:rPr>
                <w:rFonts w:ascii="Segoe UI" w:hAnsi="Segoe UI" w:cs="Segoe UI"/>
                <w:b/>
                <w:bCs/>
                <w:color w:val="212529"/>
                <w:sz w:val="21"/>
                <w:szCs w:val="21"/>
              </w:rPr>
              <w:t>Facility or Group Home</w:t>
            </w:r>
          </w:p>
        </w:tc>
        <w:tc>
          <w:tcPr>
            <w:tcW w:w="2337" w:type="dxa"/>
          </w:tcPr>
          <w:p w14:paraId="474EC0B8" w14:textId="77777777" w:rsidR="002B14BE" w:rsidRPr="005062F2" w:rsidRDefault="002B14BE" w:rsidP="000D7516">
            <w:pPr>
              <w:rPr>
                <w:rFonts w:ascii="Segoe UI" w:hAnsi="Segoe UI" w:cs="Segoe UI"/>
                <w:color w:val="212529"/>
                <w:sz w:val="21"/>
                <w:szCs w:val="21"/>
              </w:rPr>
            </w:pPr>
            <w:r w:rsidRPr="005062F2">
              <w:rPr>
                <w:rFonts w:ascii="Segoe UI" w:hAnsi="Segoe UI" w:cs="Segoe UI"/>
                <w:color w:val="212529"/>
                <w:sz w:val="21"/>
                <w:szCs w:val="21"/>
              </w:rPr>
              <w:t>15</w:t>
            </w:r>
          </w:p>
        </w:tc>
        <w:tc>
          <w:tcPr>
            <w:tcW w:w="2338" w:type="dxa"/>
          </w:tcPr>
          <w:p w14:paraId="33442F02" w14:textId="38B420E0" w:rsidR="002B14BE" w:rsidRPr="005062F2" w:rsidRDefault="002B14BE" w:rsidP="000D7516">
            <w:pPr>
              <w:rPr>
                <w:rFonts w:ascii="Segoe UI" w:hAnsi="Segoe UI" w:cs="Segoe UI"/>
                <w:color w:val="212529"/>
                <w:sz w:val="21"/>
                <w:szCs w:val="21"/>
              </w:rPr>
            </w:pPr>
            <w:r>
              <w:rPr>
                <w:rFonts w:ascii="Segoe UI" w:hAnsi="Segoe UI" w:cs="Segoe UI"/>
                <w:color w:val="212529"/>
                <w:sz w:val="21"/>
                <w:szCs w:val="21"/>
              </w:rPr>
              <w:t>3</w:t>
            </w:r>
          </w:p>
        </w:tc>
        <w:tc>
          <w:tcPr>
            <w:tcW w:w="2338" w:type="dxa"/>
          </w:tcPr>
          <w:p w14:paraId="59CC233C" w14:textId="0B4A88B6" w:rsidR="002B14BE" w:rsidRPr="005062F2" w:rsidRDefault="00811246" w:rsidP="000D7516">
            <w:pPr>
              <w:rPr>
                <w:rFonts w:ascii="Segoe UI" w:hAnsi="Segoe UI" w:cs="Segoe UI"/>
                <w:color w:val="212529"/>
                <w:sz w:val="21"/>
                <w:szCs w:val="21"/>
              </w:rPr>
            </w:pPr>
            <w:r>
              <w:rPr>
                <w:rFonts w:ascii="Segoe UI" w:hAnsi="Segoe UI" w:cs="Segoe UI"/>
                <w:color w:val="212529"/>
                <w:sz w:val="21"/>
                <w:szCs w:val="21"/>
              </w:rPr>
              <w:t>5</w:t>
            </w:r>
          </w:p>
        </w:tc>
      </w:tr>
      <w:tr w:rsidR="002B14BE" w14:paraId="0DB7C962" w14:textId="77777777" w:rsidTr="000D7516">
        <w:tc>
          <w:tcPr>
            <w:tcW w:w="2337" w:type="dxa"/>
          </w:tcPr>
          <w:p w14:paraId="07E5894F" w14:textId="77777777" w:rsidR="002B14BE" w:rsidRPr="00905920" w:rsidRDefault="002B14BE" w:rsidP="000D7516">
            <w:pPr>
              <w:rPr>
                <w:rFonts w:ascii="Segoe UI" w:hAnsi="Segoe UI" w:cs="Segoe UI"/>
                <w:b/>
                <w:bCs/>
                <w:color w:val="212529"/>
                <w:sz w:val="21"/>
                <w:szCs w:val="21"/>
              </w:rPr>
            </w:pPr>
            <w:r w:rsidRPr="00905920">
              <w:rPr>
                <w:rFonts w:ascii="Segoe UI" w:hAnsi="Segoe UI" w:cs="Segoe UI"/>
                <w:b/>
                <w:bCs/>
                <w:color w:val="212529"/>
                <w:sz w:val="21"/>
                <w:szCs w:val="21"/>
              </w:rPr>
              <w:t>Increased Residential Capacity as #of beds</w:t>
            </w:r>
          </w:p>
        </w:tc>
        <w:tc>
          <w:tcPr>
            <w:tcW w:w="2337" w:type="dxa"/>
          </w:tcPr>
          <w:p w14:paraId="0BD14703" w14:textId="77777777" w:rsidR="002B14BE" w:rsidRPr="005062F2" w:rsidRDefault="002B14BE" w:rsidP="000D7516">
            <w:pPr>
              <w:rPr>
                <w:rFonts w:ascii="Segoe UI" w:hAnsi="Segoe UI" w:cs="Segoe UI"/>
                <w:color w:val="212529"/>
                <w:sz w:val="21"/>
                <w:szCs w:val="21"/>
              </w:rPr>
            </w:pPr>
            <w:r>
              <w:rPr>
                <w:rFonts w:ascii="Segoe UI" w:hAnsi="Segoe UI" w:cs="Segoe UI"/>
                <w:color w:val="212529"/>
                <w:sz w:val="21"/>
                <w:szCs w:val="21"/>
              </w:rPr>
              <w:t>86</w:t>
            </w:r>
          </w:p>
        </w:tc>
        <w:tc>
          <w:tcPr>
            <w:tcW w:w="2338" w:type="dxa"/>
          </w:tcPr>
          <w:p w14:paraId="769DF11D" w14:textId="37F00189" w:rsidR="002B14BE" w:rsidRPr="005062F2" w:rsidRDefault="00811246" w:rsidP="000D7516">
            <w:pPr>
              <w:rPr>
                <w:rFonts w:ascii="Segoe UI" w:hAnsi="Segoe UI" w:cs="Segoe UI"/>
                <w:color w:val="212529"/>
                <w:sz w:val="21"/>
                <w:szCs w:val="21"/>
              </w:rPr>
            </w:pPr>
            <w:r>
              <w:rPr>
                <w:rFonts w:ascii="Segoe UI" w:hAnsi="Segoe UI" w:cs="Segoe UI"/>
                <w:color w:val="212529"/>
                <w:sz w:val="21"/>
                <w:szCs w:val="21"/>
              </w:rPr>
              <w:t>33</w:t>
            </w:r>
          </w:p>
        </w:tc>
        <w:tc>
          <w:tcPr>
            <w:tcW w:w="2338" w:type="dxa"/>
          </w:tcPr>
          <w:p w14:paraId="2437DA20" w14:textId="22BFD57B" w:rsidR="002B14BE" w:rsidRPr="005062F2" w:rsidRDefault="00811246" w:rsidP="000D7516">
            <w:pPr>
              <w:rPr>
                <w:rFonts w:ascii="Segoe UI" w:hAnsi="Segoe UI" w:cs="Segoe UI"/>
                <w:color w:val="212529"/>
                <w:sz w:val="21"/>
                <w:szCs w:val="21"/>
              </w:rPr>
            </w:pPr>
            <w:r>
              <w:rPr>
                <w:rFonts w:ascii="Segoe UI" w:hAnsi="Segoe UI" w:cs="Segoe UI"/>
                <w:color w:val="212529"/>
                <w:sz w:val="21"/>
                <w:szCs w:val="21"/>
              </w:rPr>
              <w:t>110</w:t>
            </w:r>
          </w:p>
        </w:tc>
      </w:tr>
      <w:tr w:rsidR="002B14BE" w14:paraId="1192AFD7" w14:textId="77777777" w:rsidTr="000D7516">
        <w:tc>
          <w:tcPr>
            <w:tcW w:w="2337" w:type="dxa"/>
          </w:tcPr>
          <w:p w14:paraId="5EB55A37" w14:textId="77777777" w:rsidR="002B14BE" w:rsidRPr="00905920" w:rsidRDefault="002B14BE" w:rsidP="000D7516">
            <w:pPr>
              <w:rPr>
                <w:rFonts w:ascii="Segoe UI" w:hAnsi="Segoe UI" w:cs="Segoe UI"/>
                <w:b/>
                <w:bCs/>
                <w:color w:val="212529"/>
                <w:sz w:val="21"/>
                <w:szCs w:val="21"/>
              </w:rPr>
            </w:pPr>
            <w:r w:rsidRPr="00905920">
              <w:rPr>
                <w:rFonts w:ascii="Segoe UI" w:hAnsi="Segoe UI" w:cs="Segoe UI"/>
                <w:b/>
                <w:bCs/>
                <w:color w:val="212529"/>
                <w:sz w:val="21"/>
                <w:szCs w:val="21"/>
              </w:rPr>
              <w:t># of persons that transitioned to permanent housing</w:t>
            </w:r>
          </w:p>
        </w:tc>
        <w:tc>
          <w:tcPr>
            <w:tcW w:w="2337" w:type="dxa"/>
          </w:tcPr>
          <w:p w14:paraId="6E52D0DC" w14:textId="77777777" w:rsidR="002B14BE" w:rsidRPr="005062F2" w:rsidRDefault="002B14BE" w:rsidP="000D7516">
            <w:pPr>
              <w:rPr>
                <w:rFonts w:ascii="Segoe UI" w:hAnsi="Segoe UI" w:cs="Segoe UI"/>
                <w:color w:val="212529"/>
                <w:sz w:val="21"/>
                <w:szCs w:val="21"/>
              </w:rPr>
            </w:pPr>
            <w:r>
              <w:rPr>
                <w:rFonts w:ascii="Segoe UI" w:hAnsi="Segoe UI" w:cs="Segoe UI"/>
                <w:color w:val="212529"/>
                <w:sz w:val="21"/>
                <w:szCs w:val="21"/>
              </w:rPr>
              <w:t>80</w:t>
            </w:r>
          </w:p>
        </w:tc>
        <w:tc>
          <w:tcPr>
            <w:tcW w:w="2338" w:type="dxa"/>
          </w:tcPr>
          <w:p w14:paraId="7A2382CD" w14:textId="3229587D" w:rsidR="002B14BE" w:rsidRPr="005062F2" w:rsidRDefault="002B14BE" w:rsidP="000D7516">
            <w:pPr>
              <w:rPr>
                <w:rFonts w:ascii="Segoe UI" w:hAnsi="Segoe UI" w:cs="Segoe UI"/>
                <w:color w:val="212529"/>
                <w:sz w:val="21"/>
                <w:szCs w:val="21"/>
              </w:rPr>
            </w:pPr>
            <w:r>
              <w:rPr>
                <w:rFonts w:ascii="Segoe UI" w:hAnsi="Segoe UI" w:cs="Segoe UI"/>
                <w:color w:val="212529"/>
                <w:sz w:val="21"/>
                <w:szCs w:val="21"/>
              </w:rPr>
              <w:t>45</w:t>
            </w:r>
          </w:p>
        </w:tc>
        <w:tc>
          <w:tcPr>
            <w:tcW w:w="2338" w:type="dxa"/>
          </w:tcPr>
          <w:p w14:paraId="3F5DEE7B" w14:textId="0B2D5AB4" w:rsidR="002B14BE" w:rsidRPr="005062F2" w:rsidRDefault="002B14BE" w:rsidP="000D7516">
            <w:pPr>
              <w:rPr>
                <w:rFonts w:ascii="Segoe UI" w:hAnsi="Segoe UI" w:cs="Segoe UI"/>
                <w:color w:val="212529"/>
                <w:sz w:val="21"/>
                <w:szCs w:val="21"/>
              </w:rPr>
            </w:pPr>
            <w:r>
              <w:rPr>
                <w:rFonts w:ascii="Segoe UI" w:hAnsi="Segoe UI" w:cs="Segoe UI"/>
                <w:color w:val="212529"/>
                <w:sz w:val="21"/>
                <w:szCs w:val="21"/>
              </w:rPr>
              <w:t>45</w:t>
            </w:r>
          </w:p>
        </w:tc>
      </w:tr>
      <w:tr w:rsidR="002B14BE" w14:paraId="7CE98565" w14:textId="77777777" w:rsidTr="000D7516">
        <w:tc>
          <w:tcPr>
            <w:tcW w:w="2337" w:type="dxa"/>
          </w:tcPr>
          <w:p w14:paraId="437085B3" w14:textId="77777777" w:rsidR="002B14BE" w:rsidRPr="00905920" w:rsidRDefault="002B14BE" w:rsidP="000D7516">
            <w:pPr>
              <w:rPr>
                <w:rFonts w:ascii="Segoe UI" w:hAnsi="Segoe UI" w:cs="Segoe UI"/>
                <w:b/>
                <w:bCs/>
                <w:color w:val="212529"/>
                <w:sz w:val="21"/>
                <w:szCs w:val="21"/>
              </w:rPr>
            </w:pPr>
            <w:r w:rsidRPr="00905920">
              <w:rPr>
                <w:rFonts w:ascii="Segoe UI" w:hAnsi="Segoe UI" w:cs="Segoe UI"/>
                <w:b/>
                <w:bCs/>
                <w:color w:val="212529"/>
                <w:sz w:val="21"/>
                <w:szCs w:val="21"/>
              </w:rPr>
              <w:t>#of persons with additional disability</w:t>
            </w:r>
          </w:p>
        </w:tc>
        <w:tc>
          <w:tcPr>
            <w:tcW w:w="2337" w:type="dxa"/>
          </w:tcPr>
          <w:p w14:paraId="4EC5FF84" w14:textId="77777777" w:rsidR="002B14BE" w:rsidRPr="005062F2" w:rsidRDefault="002B14BE" w:rsidP="000D7516">
            <w:pPr>
              <w:rPr>
                <w:rFonts w:ascii="Segoe UI" w:hAnsi="Segoe UI" w:cs="Segoe UI"/>
                <w:color w:val="212529"/>
                <w:sz w:val="21"/>
                <w:szCs w:val="21"/>
              </w:rPr>
            </w:pPr>
            <w:r>
              <w:rPr>
                <w:rFonts w:ascii="Segoe UI" w:hAnsi="Segoe UI" w:cs="Segoe UI"/>
                <w:color w:val="212529"/>
                <w:sz w:val="21"/>
                <w:szCs w:val="21"/>
              </w:rPr>
              <w:t>86</w:t>
            </w:r>
          </w:p>
        </w:tc>
        <w:tc>
          <w:tcPr>
            <w:tcW w:w="2338" w:type="dxa"/>
          </w:tcPr>
          <w:p w14:paraId="1CE83C7A" w14:textId="7AF5AA88" w:rsidR="002B14BE" w:rsidRPr="005062F2" w:rsidRDefault="002B14BE" w:rsidP="000D7516">
            <w:pPr>
              <w:rPr>
                <w:rFonts w:ascii="Segoe UI" w:hAnsi="Segoe UI" w:cs="Segoe UI"/>
                <w:color w:val="212529"/>
                <w:sz w:val="21"/>
                <w:szCs w:val="21"/>
              </w:rPr>
            </w:pPr>
            <w:r>
              <w:rPr>
                <w:rFonts w:ascii="Segoe UI" w:hAnsi="Segoe UI" w:cs="Segoe UI"/>
                <w:color w:val="212529"/>
                <w:sz w:val="21"/>
                <w:szCs w:val="21"/>
              </w:rPr>
              <w:t>45</w:t>
            </w:r>
          </w:p>
        </w:tc>
        <w:tc>
          <w:tcPr>
            <w:tcW w:w="2338" w:type="dxa"/>
          </w:tcPr>
          <w:p w14:paraId="1464DFC7" w14:textId="57EBE1FB" w:rsidR="002B14BE" w:rsidRPr="005062F2" w:rsidRDefault="002B14BE" w:rsidP="000D7516">
            <w:pPr>
              <w:rPr>
                <w:rFonts w:ascii="Segoe UI" w:hAnsi="Segoe UI" w:cs="Segoe UI"/>
                <w:color w:val="212529"/>
                <w:sz w:val="21"/>
                <w:szCs w:val="21"/>
              </w:rPr>
            </w:pPr>
            <w:r>
              <w:rPr>
                <w:rFonts w:ascii="Segoe UI" w:hAnsi="Segoe UI" w:cs="Segoe UI"/>
                <w:color w:val="212529"/>
                <w:sz w:val="21"/>
                <w:szCs w:val="21"/>
              </w:rPr>
              <w:t>45</w:t>
            </w:r>
          </w:p>
        </w:tc>
      </w:tr>
      <w:tr w:rsidR="002B14BE" w14:paraId="4638CCCC" w14:textId="77777777" w:rsidTr="000D7516">
        <w:tc>
          <w:tcPr>
            <w:tcW w:w="2337" w:type="dxa"/>
          </w:tcPr>
          <w:p w14:paraId="25AF650F" w14:textId="77777777" w:rsidR="002B14BE" w:rsidRPr="00905920" w:rsidRDefault="002B14BE" w:rsidP="000D7516">
            <w:pPr>
              <w:rPr>
                <w:rFonts w:ascii="Segoe UI" w:hAnsi="Segoe UI" w:cs="Segoe UI"/>
                <w:b/>
                <w:bCs/>
                <w:color w:val="212529"/>
                <w:sz w:val="21"/>
                <w:szCs w:val="21"/>
              </w:rPr>
            </w:pPr>
            <w:r w:rsidRPr="00905920">
              <w:rPr>
                <w:rFonts w:ascii="Segoe UI" w:hAnsi="Segoe UI" w:cs="Segoe UI"/>
                <w:b/>
                <w:bCs/>
                <w:color w:val="212529"/>
                <w:sz w:val="21"/>
                <w:szCs w:val="21"/>
              </w:rPr>
              <w:t># of Section 3 Labor Hours</w:t>
            </w:r>
          </w:p>
        </w:tc>
        <w:tc>
          <w:tcPr>
            <w:tcW w:w="2337" w:type="dxa"/>
          </w:tcPr>
          <w:p w14:paraId="54C4C38B" w14:textId="77777777" w:rsidR="002B14BE" w:rsidRPr="005062F2" w:rsidRDefault="002B14BE" w:rsidP="000D7516">
            <w:pPr>
              <w:rPr>
                <w:rFonts w:ascii="Segoe UI" w:hAnsi="Segoe UI" w:cs="Segoe UI"/>
                <w:color w:val="212529"/>
                <w:sz w:val="21"/>
                <w:szCs w:val="21"/>
              </w:rPr>
            </w:pPr>
            <w:r>
              <w:rPr>
                <w:rFonts w:ascii="Segoe UI" w:hAnsi="Segoe UI" w:cs="Segoe UI"/>
                <w:color w:val="212529"/>
                <w:sz w:val="21"/>
                <w:szCs w:val="21"/>
              </w:rPr>
              <w:t>0</w:t>
            </w:r>
          </w:p>
        </w:tc>
        <w:tc>
          <w:tcPr>
            <w:tcW w:w="2338" w:type="dxa"/>
          </w:tcPr>
          <w:p w14:paraId="1B8E9632" w14:textId="77777777" w:rsidR="002B14BE" w:rsidRPr="005062F2" w:rsidRDefault="002B14BE" w:rsidP="000D7516">
            <w:pPr>
              <w:rPr>
                <w:rFonts w:ascii="Segoe UI" w:hAnsi="Segoe UI" w:cs="Segoe UI"/>
                <w:color w:val="212529"/>
                <w:sz w:val="21"/>
                <w:szCs w:val="21"/>
              </w:rPr>
            </w:pPr>
            <w:r>
              <w:rPr>
                <w:rFonts w:ascii="Segoe UI" w:hAnsi="Segoe UI" w:cs="Segoe UI"/>
                <w:color w:val="212529"/>
                <w:sz w:val="21"/>
                <w:szCs w:val="21"/>
              </w:rPr>
              <w:t>0</w:t>
            </w:r>
          </w:p>
        </w:tc>
        <w:tc>
          <w:tcPr>
            <w:tcW w:w="2338" w:type="dxa"/>
          </w:tcPr>
          <w:p w14:paraId="4824C8D1" w14:textId="77777777" w:rsidR="002B14BE" w:rsidRPr="005062F2" w:rsidRDefault="002B14BE" w:rsidP="000D7516">
            <w:pPr>
              <w:rPr>
                <w:rFonts w:ascii="Segoe UI" w:hAnsi="Segoe UI" w:cs="Segoe UI"/>
                <w:color w:val="212529"/>
                <w:sz w:val="21"/>
                <w:szCs w:val="21"/>
              </w:rPr>
            </w:pPr>
            <w:r>
              <w:rPr>
                <w:rFonts w:ascii="Segoe UI" w:hAnsi="Segoe UI" w:cs="Segoe UI"/>
                <w:color w:val="212529"/>
                <w:sz w:val="21"/>
                <w:szCs w:val="21"/>
              </w:rPr>
              <w:t>0</w:t>
            </w:r>
          </w:p>
        </w:tc>
      </w:tr>
      <w:tr w:rsidR="002B14BE" w14:paraId="018DA32A" w14:textId="77777777" w:rsidTr="000D7516">
        <w:tc>
          <w:tcPr>
            <w:tcW w:w="2337" w:type="dxa"/>
          </w:tcPr>
          <w:p w14:paraId="0C1583E8" w14:textId="77777777" w:rsidR="002B14BE" w:rsidRPr="00905920" w:rsidRDefault="002B14BE" w:rsidP="000D7516">
            <w:pPr>
              <w:rPr>
                <w:rFonts w:ascii="Segoe UI" w:hAnsi="Segoe UI" w:cs="Segoe UI"/>
                <w:b/>
                <w:bCs/>
                <w:color w:val="212529"/>
                <w:sz w:val="21"/>
                <w:szCs w:val="21"/>
              </w:rPr>
            </w:pPr>
            <w:r w:rsidRPr="00905920">
              <w:rPr>
                <w:rFonts w:ascii="Segoe UI" w:hAnsi="Segoe UI" w:cs="Segoe UI"/>
                <w:b/>
                <w:bCs/>
                <w:color w:val="212529"/>
                <w:sz w:val="21"/>
                <w:szCs w:val="21"/>
              </w:rPr>
              <w:t># of Targeted Section 3 Labor Hours</w:t>
            </w:r>
          </w:p>
        </w:tc>
        <w:tc>
          <w:tcPr>
            <w:tcW w:w="2337" w:type="dxa"/>
          </w:tcPr>
          <w:p w14:paraId="30720DEF" w14:textId="77777777" w:rsidR="002B14BE" w:rsidRPr="005062F2" w:rsidRDefault="002B14BE" w:rsidP="000D7516">
            <w:pPr>
              <w:rPr>
                <w:rFonts w:ascii="Segoe UI" w:hAnsi="Segoe UI" w:cs="Segoe UI"/>
                <w:color w:val="212529"/>
                <w:sz w:val="21"/>
                <w:szCs w:val="21"/>
              </w:rPr>
            </w:pPr>
            <w:r>
              <w:rPr>
                <w:rFonts w:ascii="Segoe UI" w:hAnsi="Segoe UI" w:cs="Segoe UI"/>
                <w:color w:val="212529"/>
                <w:sz w:val="21"/>
                <w:szCs w:val="21"/>
              </w:rPr>
              <w:t>0</w:t>
            </w:r>
          </w:p>
        </w:tc>
        <w:tc>
          <w:tcPr>
            <w:tcW w:w="2338" w:type="dxa"/>
          </w:tcPr>
          <w:p w14:paraId="228D5B93" w14:textId="77777777" w:rsidR="002B14BE" w:rsidRPr="005062F2" w:rsidRDefault="002B14BE" w:rsidP="000D7516">
            <w:pPr>
              <w:rPr>
                <w:rFonts w:ascii="Segoe UI" w:hAnsi="Segoe UI" w:cs="Segoe UI"/>
                <w:color w:val="212529"/>
                <w:sz w:val="21"/>
                <w:szCs w:val="21"/>
              </w:rPr>
            </w:pPr>
            <w:r>
              <w:rPr>
                <w:rFonts w:ascii="Segoe UI" w:hAnsi="Segoe UI" w:cs="Segoe UI"/>
                <w:color w:val="212529"/>
                <w:sz w:val="21"/>
                <w:szCs w:val="21"/>
              </w:rPr>
              <w:t>0</w:t>
            </w:r>
          </w:p>
        </w:tc>
        <w:tc>
          <w:tcPr>
            <w:tcW w:w="2338" w:type="dxa"/>
          </w:tcPr>
          <w:p w14:paraId="23FED066" w14:textId="77777777" w:rsidR="002B14BE" w:rsidRPr="005062F2" w:rsidRDefault="002B14BE" w:rsidP="000D7516">
            <w:pPr>
              <w:rPr>
                <w:rFonts w:ascii="Segoe UI" w:hAnsi="Segoe UI" w:cs="Segoe UI"/>
                <w:color w:val="212529"/>
                <w:sz w:val="21"/>
                <w:szCs w:val="21"/>
              </w:rPr>
            </w:pPr>
            <w:r>
              <w:rPr>
                <w:rFonts w:ascii="Segoe UI" w:hAnsi="Segoe UI" w:cs="Segoe UI"/>
                <w:color w:val="212529"/>
                <w:sz w:val="21"/>
                <w:szCs w:val="21"/>
              </w:rPr>
              <w:t>0</w:t>
            </w:r>
          </w:p>
        </w:tc>
      </w:tr>
      <w:tr w:rsidR="002B14BE" w14:paraId="54E65ADF" w14:textId="77777777" w:rsidTr="000D7516">
        <w:tc>
          <w:tcPr>
            <w:tcW w:w="2337" w:type="dxa"/>
          </w:tcPr>
          <w:p w14:paraId="31B92806" w14:textId="77777777" w:rsidR="002B14BE" w:rsidRPr="00905920" w:rsidRDefault="002B14BE" w:rsidP="000D7516">
            <w:pPr>
              <w:rPr>
                <w:rFonts w:ascii="Segoe UI" w:hAnsi="Segoe UI" w:cs="Segoe UI"/>
                <w:b/>
                <w:bCs/>
                <w:color w:val="212529"/>
                <w:sz w:val="21"/>
                <w:szCs w:val="21"/>
              </w:rPr>
            </w:pPr>
            <w:r w:rsidRPr="00905920">
              <w:rPr>
                <w:rFonts w:ascii="Segoe UI" w:hAnsi="Segoe UI" w:cs="Segoe UI"/>
                <w:b/>
                <w:bCs/>
                <w:color w:val="212529"/>
                <w:sz w:val="21"/>
                <w:szCs w:val="21"/>
              </w:rPr>
              <w:t># of Total Labor Hours</w:t>
            </w:r>
          </w:p>
        </w:tc>
        <w:tc>
          <w:tcPr>
            <w:tcW w:w="2337" w:type="dxa"/>
          </w:tcPr>
          <w:p w14:paraId="274136A3" w14:textId="77777777" w:rsidR="002B14BE" w:rsidRPr="005062F2" w:rsidRDefault="002B14BE" w:rsidP="000D7516">
            <w:pPr>
              <w:rPr>
                <w:rFonts w:ascii="Segoe UI" w:hAnsi="Segoe UI" w:cs="Segoe UI"/>
                <w:color w:val="212529"/>
                <w:sz w:val="21"/>
                <w:szCs w:val="21"/>
              </w:rPr>
            </w:pPr>
            <w:r>
              <w:rPr>
                <w:rFonts w:ascii="Segoe UI" w:hAnsi="Segoe UI" w:cs="Segoe UI"/>
                <w:color w:val="212529"/>
                <w:sz w:val="21"/>
                <w:szCs w:val="21"/>
              </w:rPr>
              <w:t>0</w:t>
            </w:r>
          </w:p>
        </w:tc>
        <w:tc>
          <w:tcPr>
            <w:tcW w:w="2338" w:type="dxa"/>
          </w:tcPr>
          <w:p w14:paraId="0BD9E2FF" w14:textId="77777777" w:rsidR="002B14BE" w:rsidRPr="005062F2" w:rsidRDefault="002B14BE" w:rsidP="000D7516">
            <w:pPr>
              <w:rPr>
                <w:rFonts w:ascii="Segoe UI" w:hAnsi="Segoe UI" w:cs="Segoe UI"/>
                <w:color w:val="212529"/>
                <w:sz w:val="21"/>
                <w:szCs w:val="21"/>
              </w:rPr>
            </w:pPr>
            <w:r>
              <w:rPr>
                <w:rFonts w:ascii="Segoe UI" w:hAnsi="Segoe UI" w:cs="Segoe UI"/>
                <w:color w:val="212529"/>
                <w:sz w:val="21"/>
                <w:szCs w:val="21"/>
              </w:rPr>
              <w:t>0</w:t>
            </w:r>
          </w:p>
        </w:tc>
        <w:tc>
          <w:tcPr>
            <w:tcW w:w="2338" w:type="dxa"/>
          </w:tcPr>
          <w:p w14:paraId="40E60F51" w14:textId="77777777" w:rsidR="002B14BE" w:rsidRPr="005062F2" w:rsidRDefault="002B14BE" w:rsidP="000D7516">
            <w:pPr>
              <w:rPr>
                <w:rFonts w:ascii="Segoe UI" w:hAnsi="Segoe UI" w:cs="Segoe UI"/>
                <w:color w:val="212529"/>
                <w:sz w:val="21"/>
                <w:szCs w:val="21"/>
              </w:rPr>
            </w:pPr>
            <w:r>
              <w:rPr>
                <w:rFonts w:ascii="Segoe UI" w:hAnsi="Segoe UI" w:cs="Segoe UI"/>
                <w:color w:val="212529"/>
                <w:sz w:val="21"/>
                <w:szCs w:val="21"/>
              </w:rPr>
              <w:t>0</w:t>
            </w:r>
          </w:p>
        </w:tc>
      </w:tr>
    </w:tbl>
    <w:p w14:paraId="24390743" w14:textId="77777777" w:rsidR="002B14BE" w:rsidRDefault="002B14BE" w:rsidP="002B14BE">
      <w:pPr>
        <w:rPr>
          <w:rFonts w:ascii="Segoe UI" w:hAnsi="Segoe UI" w:cs="Segoe UI"/>
          <w:b/>
          <w:bCs/>
          <w:color w:val="212529"/>
          <w:sz w:val="21"/>
          <w:szCs w:val="21"/>
          <w:u w:val="single"/>
        </w:rPr>
      </w:pPr>
    </w:p>
    <w:tbl>
      <w:tblPr>
        <w:tblStyle w:val="TableGrid"/>
        <w:tblW w:w="0" w:type="auto"/>
        <w:tblLook w:val="04A0" w:firstRow="1" w:lastRow="0" w:firstColumn="1" w:lastColumn="0" w:noHBand="0" w:noVBand="1"/>
      </w:tblPr>
      <w:tblGrid>
        <w:gridCol w:w="2337"/>
        <w:gridCol w:w="2337"/>
        <w:gridCol w:w="2338"/>
        <w:gridCol w:w="2338"/>
      </w:tblGrid>
      <w:tr w:rsidR="002B14BE" w14:paraId="4D07D156" w14:textId="77777777" w:rsidTr="000D7516">
        <w:tc>
          <w:tcPr>
            <w:tcW w:w="2337" w:type="dxa"/>
          </w:tcPr>
          <w:p w14:paraId="3AD85E8C"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lastRenderedPageBreak/>
              <w:t>Performance Measure</w:t>
            </w:r>
          </w:p>
        </w:tc>
        <w:tc>
          <w:tcPr>
            <w:tcW w:w="2337" w:type="dxa"/>
          </w:tcPr>
          <w:p w14:paraId="19AFE619"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Projected</w:t>
            </w:r>
          </w:p>
        </w:tc>
        <w:tc>
          <w:tcPr>
            <w:tcW w:w="2338" w:type="dxa"/>
          </w:tcPr>
          <w:p w14:paraId="0C1AFA44"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This Report Period</w:t>
            </w:r>
          </w:p>
        </w:tc>
        <w:tc>
          <w:tcPr>
            <w:tcW w:w="2338" w:type="dxa"/>
          </w:tcPr>
          <w:p w14:paraId="01FFCA7D"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To Date</w:t>
            </w:r>
          </w:p>
        </w:tc>
      </w:tr>
      <w:tr w:rsidR="002B14BE" w14:paraId="2F35AAB8" w14:textId="77777777" w:rsidTr="000D7516">
        <w:tc>
          <w:tcPr>
            <w:tcW w:w="2337" w:type="dxa"/>
          </w:tcPr>
          <w:p w14:paraId="3FF6A55D"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 of Housing Units</w:t>
            </w:r>
          </w:p>
        </w:tc>
        <w:tc>
          <w:tcPr>
            <w:tcW w:w="2337" w:type="dxa"/>
          </w:tcPr>
          <w:p w14:paraId="7432B873"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4</w:t>
            </w:r>
          </w:p>
        </w:tc>
        <w:tc>
          <w:tcPr>
            <w:tcW w:w="2338" w:type="dxa"/>
          </w:tcPr>
          <w:p w14:paraId="58DB018C" w14:textId="6861ACA9" w:rsidR="002B14BE" w:rsidRDefault="00811246" w:rsidP="000D7516">
            <w:pPr>
              <w:rPr>
                <w:rFonts w:ascii="Segoe UI" w:hAnsi="Segoe UI" w:cs="Segoe UI"/>
                <w:b/>
                <w:bCs/>
                <w:color w:val="212529"/>
                <w:sz w:val="21"/>
                <w:szCs w:val="21"/>
                <w:u w:val="single"/>
              </w:rPr>
            </w:pPr>
            <w:r>
              <w:rPr>
                <w:rFonts w:ascii="Segoe UI" w:hAnsi="Segoe UI" w:cs="Segoe UI"/>
                <w:b/>
                <w:bCs/>
                <w:color w:val="212529"/>
                <w:sz w:val="21"/>
                <w:szCs w:val="21"/>
                <w:u w:val="single"/>
              </w:rPr>
              <w:t>3</w:t>
            </w:r>
          </w:p>
        </w:tc>
        <w:tc>
          <w:tcPr>
            <w:tcW w:w="2338" w:type="dxa"/>
          </w:tcPr>
          <w:p w14:paraId="64D735BE" w14:textId="08AA04D3" w:rsidR="002B14BE" w:rsidRDefault="00811246" w:rsidP="000D7516">
            <w:pPr>
              <w:rPr>
                <w:rFonts w:ascii="Segoe UI" w:hAnsi="Segoe UI" w:cs="Segoe UI"/>
                <w:b/>
                <w:bCs/>
                <w:color w:val="212529"/>
                <w:sz w:val="21"/>
                <w:szCs w:val="21"/>
                <w:u w:val="single"/>
              </w:rPr>
            </w:pPr>
            <w:r>
              <w:rPr>
                <w:rFonts w:ascii="Segoe UI" w:hAnsi="Segoe UI" w:cs="Segoe UI"/>
                <w:b/>
                <w:bCs/>
                <w:color w:val="212529"/>
                <w:sz w:val="21"/>
                <w:szCs w:val="21"/>
                <w:u w:val="single"/>
              </w:rPr>
              <w:t>4</w:t>
            </w:r>
          </w:p>
        </w:tc>
      </w:tr>
      <w:tr w:rsidR="002B14BE" w14:paraId="499ABAF0" w14:textId="77777777" w:rsidTr="000D7516">
        <w:tc>
          <w:tcPr>
            <w:tcW w:w="2337" w:type="dxa"/>
          </w:tcPr>
          <w:p w14:paraId="38E30F83"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 of Multifamily Units</w:t>
            </w:r>
          </w:p>
        </w:tc>
        <w:tc>
          <w:tcPr>
            <w:tcW w:w="2337" w:type="dxa"/>
          </w:tcPr>
          <w:p w14:paraId="79D6F70B"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2</w:t>
            </w:r>
          </w:p>
        </w:tc>
        <w:tc>
          <w:tcPr>
            <w:tcW w:w="2338" w:type="dxa"/>
          </w:tcPr>
          <w:p w14:paraId="46D054C3" w14:textId="2556311A" w:rsidR="002B14BE" w:rsidRDefault="00811246" w:rsidP="000D7516">
            <w:pPr>
              <w:rPr>
                <w:rFonts w:ascii="Segoe UI" w:hAnsi="Segoe UI" w:cs="Segoe UI"/>
                <w:b/>
                <w:bCs/>
                <w:color w:val="212529"/>
                <w:sz w:val="21"/>
                <w:szCs w:val="21"/>
                <w:u w:val="single"/>
              </w:rPr>
            </w:pPr>
            <w:r>
              <w:rPr>
                <w:rFonts w:ascii="Segoe UI" w:hAnsi="Segoe UI" w:cs="Segoe UI"/>
                <w:b/>
                <w:bCs/>
                <w:color w:val="212529"/>
                <w:sz w:val="21"/>
                <w:szCs w:val="21"/>
                <w:u w:val="single"/>
              </w:rPr>
              <w:t>1</w:t>
            </w:r>
          </w:p>
        </w:tc>
        <w:tc>
          <w:tcPr>
            <w:tcW w:w="2338" w:type="dxa"/>
          </w:tcPr>
          <w:p w14:paraId="415088BE" w14:textId="6E499F39" w:rsidR="002B14BE" w:rsidRDefault="00811246" w:rsidP="000D7516">
            <w:pPr>
              <w:rPr>
                <w:rFonts w:ascii="Segoe UI" w:hAnsi="Segoe UI" w:cs="Segoe UI"/>
                <w:b/>
                <w:bCs/>
                <w:color w:val="212529"/>
                <w:sz w:val="21"/>
                <w:szCs w:val="21"/>
                <w:u w:val="single"/>
              </w:rPr>
            </w:pPr>
            <w:r>
              <w:rPr>
                <w:rFonts w:ascii="Segoe UI" w:hAnsi="Segoe UI" w:cs="Segoe UI"/>
                <w:b/>
                <w:bCs/>
                <w:color w:val="212529"/>
                <w:sz w:val="21"/>
                <w:szCs w:val="21"/>
                <w:u w:val="single"/>
              </w:rPr>
              <w:t>2</w:t>
            </w:r>
          </w:p>
        </w:tc>
      </w:tr>
      <w:tr w:rsidR="002B14BE" w14:paraId="0A718283" w14:textId="77777777" w:rsidTr="000D7516">
        <w:tc>
          <w:tcPr>
            <w:tcW w:w="2337" w:type="dxa"/>
          </w:tcPr>
          <w:p w14:paraId="500261D4" w14:textId="637610B2"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 xml:space="preserve"># of </w:t>
            </w:r>
            <w:r w:rsidR="00945804">
              <w:rPr>
                <w:rFonts w:ascii="Segoe UI" w:hAnsi="Segoe UI" w:cs="Segoe UI"/>
                <w:b/>
                <w:bCs/>
                <w:color w:val="212529"/>
                <w:sz w:val="21"/>
                <w:szCs w:val="21"/>
                <w:u w:val="single"/>
              </w:rPr>
              <w:t>Single-family</w:t>
            </w:r>
            <w:r>
              <w:rPr>
                <w:rFonts w:ascii="Segoe UI" w:hAnsi="Segoe UI" w:cs="Segoe UI"/>
                <w:b/>
                <w:bCs/>
                <w:color w:val="212529"/>
                <w:sz w:val="21"/>
                <w:szCs w:val="21"/>
                <w:u w:val="single"/>
              </w:rPr>
              <w:t xml:space="preserve"> Units</w:t>
            </w:r>
          </w:p>
        </w:tc>
        <w:tc>
          <w:tcPr>
            <w:tcW w:w="2337" w:type="dxa"/>
          </w:tcPr>
          <w:p w14:paraId="066FD74A"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2</w:t>
            </w:r>
          </w:p>
        </w:tc>
        <w:tc>
          <w:tcPr>
            <w:tcW w:w="2338" w:type="dxa"/>
          </w:tcPr>
          <w:p w14:paraId="0BA2DA1F"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0</w:t>
            </w:r>
          </w:p>
        </w:tc>
        <w:tc>
          <w:tcPr>
            <w:tcW w:w="2338" w:type="dxa"/>
          </w:tcPr>
          <w:p w14:paraId="01969F7F"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0</w:t>
            </w:r>
          </w:p>
        </w:tc>
      </w:tr>
    </w:tbl>
    <w:p w14:paraId="3FA897FC" w14:textId="77777777" w:rsidR="002B14BE" w:rsidRDefault="002B14BE" w:rsidP="002B14BE">
      <w:pPr>
        <w:rPr>
          <w:rFonts w:ascii="Segoe UI" w:hAnsi="Segoe UI" w:cs="Segoe UI"/>
          <w:b/>
          <w:bCs/>
          <w:color w:val="212529"/>
          <w:sz w:val="21"/>
          <w:szCs w:val="21"/>
          <w:u w:val="single"/>
        </w:rPr>
      </w:pPr>
    </w:p>
    <w:tbl>
      <w:tblPr>
        <w:tblStyle w:val="TableGrid"/>
        <w:tblW w:w="0" w:type="auto"/>
        <w:tblLayout w:type="fixed"/>
        <w:tblLook w:val="04A0" w:firstRow="1" w:lastRow="0" w:firstColumn="1" w:lastColumn="0" w:noHBand="0" w:noVBand="1"/>
      </w:tblPr>
      <w:tblGrid>
        <w:gridCol w:w="1255"/>
        <w:gridCol w:w="990"/>
        <w:gridCol w:w="990"/>
        <w:gridCol w:w="990"/>
        <w:gridCol w:w="900"/>
        <w:gridCol w:w="900"/>
        <w:gridCol w:w="900"/>
        <w:gridCol w:w="810"/>
        <w:gridCol w:w="810"/>
        <w:gridCol w:w="805"/>
      </w:tblGrid>
      <w:tr w:rsidR="002B14BE" w14:paraId="32F34827" w14:textId="77777777" w:rsidTr="000D7516">
        <w:tc>
          <w:tcPr>
            <w:tcW w:w="1255" w:type="dxa"/>
          </w:tcPr>
          <w:p w14:paraId="41DB6CF6"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Beneficiaries</w:t>
            </w:r>
          </w:p>
        </w:tc>
        <w:tc>
          <w:tcPr>
            <w:tcW w:w="990" w:type="dxa"/>
          </w:tcPr>
          <w:p w14:paraId="19EFE366"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Projected Total</w:t>
            </w:r>
          </w:p>
        </w:tc>
        <w:tc>
          <w:tcPr>
            <w:tcW w:w="990" w:type="dxa"/>
          </w:tcPr>
          <w:p w14:paraId="22F38537"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Projected Low</w:t>
            </w:r>
          </w:p>
        </w:tc>
        <w:tc>
          <w:tcPr>
            <w:tcW w:w="990" w:type="dxa"/>
          </w:tcPr>
          <w:p w14:paraId="734A5B8E"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Projected Mod</w:t>
            </w:r>
          </w:p>
        </w:tc>
        <w:tc>
          <w:tcPr>
            <w:tcW w:w="900" w:type="dxa"/>
          </w:tcPr>
          <w:p w14:paraId="06A748DB"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This Report Period Total</w:t>
            </w:r>
          </w:p>
        </w:tc>
        <w:tc>
          <w:tcPr>
            <w:tcW w:w="900" w:type="dxa"/>
          </w:tcPr>
          <w:p w14:paraId="5AA2AD2F"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This Report Period Low</w:t>
            </w:r>
          </w:p>
        </w:tc>
        <w:tc>
          <w:tcPr>
            <w:tcW w:w="900" w:type="dxa"/>
          </w:tcPr>
          <w:p w14:paraId="2DDAC3AF"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This Report Period Mod</w:t>
            </w:r>
          </w:p>
        </w:tc>
        <w:tc>
          <w:tcPr>
            <w:tcW w:w="810" w:type="dxa"/>
          </w:tcPr>
          <w:p w14:paraId="3C91E1B9"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To Date Total</w:t>
            </w:r>
          </w:p>
        </w:tc>
        <w:tc>
          <w:tcPr>
            <w:tcW w:w="810" w:type="dxa"/>
          </w:tcPr>
          <w:p w14:paraId="438D452E"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To Date Low</w:t>
            </w:r>
          </w:p>
        </w:tc>
        <w:tc>
          <w:tcPr>
            <w:tcW w:w="805" w:type="dxa"/>
          </w:tcPr>
          <w:p w14:paraId="1DA3E0C9"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To Date Mod</w:t>
            </w:r>
          </w:p>
        </w:tc>
      </w:tr>
      <w:tr w:rsidR="002B14BE" w14:paraId="4FE95822" w14:textId="77777777" w:rsidTr="000D7516">
        <w:tc>
          <w:tcPr>
            <w:tcW w:w="1255" w:type="dxa"/>
          </w:tcPr>
          <w:p w14:paraId="3A23BE6F"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Performance Measure</w:t>
            </w:r>
          </w:p>
        </w:tc>
        <w:tc>
          <w:tcPr>
            <w:tcW w:w="990" w:type="dxa"/>
          </w:tcPr>
          <w:p w14:paraId="084D7FFE" w14:textId="77777777" w:rsidR="002B14BE" w:rsidRPr="00905920" w:rsidRDefault="002B14BE" w:rsidP="000D7516">
            <w:pPr>
              <w:rPr>
                <w:rFonts w:ascii="Segoe UI" w:hAnsi="Segoe UI" w:cs="Segoe UI"/>
                <w:color w:val="212529"/>
                <w:sz w:val="21"/>
                <w:szCs w:val="21"/>
              </w:rPr>
            </w:pPr>
          </w:p>
        </w:tc>
        <w:tc>
          <w:tcPr>
            <w:tcW w:w="990" w:type="dxa"/>
          </w:tcPr>
          <w:p w14:paraId="2033FAAF" w14:textId="77777777" w:rsidR="002B14BE" w:rsidRPr="00905920" w:rsidRDefault="002B14BE" w:rsidP="000D7516">
            <w:pPr>
              <w:rPr>
                <w:rFonts w:ascii="Segoe UI" w:hAnsi="Segoe UI" w:cs="Segoe UI"/>
                <w:color w:val="212529"/>
                <w:sz w:val="21"/>
                <w:szCs w:val="21"/>
              </w:rPr>
            </w:pPr>
          </w:p>
        </w:tc>
        <w:tc>
          <w:tcPr>
            <w:tcW w:w="990" w:type="dxa"/>
          </w:tcPr>
          <w:p w14:paraId="0524C306" w14:textId="77777777" w:rsidR="002B14BE" w:rsidRPr="00905920" w:rsidRDefault="002B14BE" w:rsidP="000D7516">
            <w:pPr>
              <w:rPr>
                <w:rFonts w:ascii="Segoe UI" w:hAnsi="Segoe UI" w:cs="Segoe UI"/>
                <w:color w:val="212529"/>
                <w:sz w:val="21"/>
                <w:szCs w:val="21"/>
              </w:rPr>
            </w:pPr>
          </w:p>
        </w:tc>
        <w:tc>
          <w:tcPr>
            <w:tcW w:w="900" w:type="dxa"/>
          </w:tcPr>
          <w:p w14:paraId="6E5A808A" w14:textId="77777777" w:rsidR="002B14BE" w:rsidRPr="00905920" w:rsidRDefault="002B14BE" w:rsidP="000D7516">
            <w:pPr>
              <w:rPr>
                <w:rFonts w:ascii="Segoe UI" w:hAnsi="Segoe UI" w:cs="Segoe UI"/>
                <w:color w:val="212529"/>
                <w:sz w:val="21"/>
                <w:szCs w:val="21"/>
              </w:rPr>
            </w:pPr>
          </w:p>
        </w:tc>
        <w:tc>
          <w:tcPr>
            <w:tcW w:w="900" w:type="dxa"/>
          </w:tcPr>
          <w:p w14:paraId="2102134A" w14:textId="77777777" w:rsidR="002B14BE" w:rsidRPr="00905920" w:rsidRDefault="002B14BE" w:rsidP="000D7516">
            <w:pPr>
              <w:rPr>
                <w:rFonts w:ascii="Segoe UI" w:hAnsi="Segoe UI" w:cs="Segoe UI"/>
                <w:color w:val="212529"/>
                <w:sz w:val="21"/>
                <w:szCs w:val="21"/>
              </w:rPr>
            </w:pPr>
          </w:p>
        </w:tc>
        <w:tc>
          <w:tcPr>
            <w:tcW w:w="900" w:type="dxa"/>
          </w:tcPr>
          <w:p w14:paraId="67AAB9C0" w14:textId="77777777" w:rsidR="002B14BE" w:rsidRPr="00905920" w:rsidRDefault="002B14BE" w:rsidP="000D7516">
            <w:pPr>
              <w:rPr>
                <w:rFonts w:ascii="Segoe UI" w:hAnsi="Segoe UI" w:cs="Segoe UI"/>
                <w:color w:val="212529"/>
                <w:sz w:val="21"/>
                <w:szCs w:val="21"/>
              </w:rPr>
            </w:pPr>
          </w:p>
        </w:tc>
        <w:tc>
          <w:tcPr>
            <w:tcW w:w="810" w:type="dxa"/>
          </w:tcPr>
          <w:p w14:paraId="1BA4D99D" w14:textId="77777777" w:rsidR="002B14BE" w:rsidRPr="00905920" w:rsidRDefault="002B14BE" w:rsidP="000D7516">
            <w:pPr>
              <w:rPr>
                <w:rFonts w:ascii="Segoe UI" w:hAnsi="Segoe UI" w:cs="Segoe UI"/>
                <w:color w:val="212529"/>
                <w:sz w:val="21"/>
                <w:szCs w:val="21"/>
              </w:rPr>
            </w:pPr>
          </w:p>
        </w:tc>
        <w:tc>
          <w:tcPr>
            <w:tcW w:w="810" w:type="dxa"/>
          </w:tcPr>
          <w:p w14:paraId="1E3D0DDD" w14:textId="77777777" w:rsidR="002B14BE" w:rsidRPr="00905920" w:rsidRDefault="002B14BE" w:rsidP="000D7516">
            <w:pPr>
              <w:rPr>
                <w:rFonts w:ascii="Segoe UI" w:hAnsi="Segoe UI" w:cs="Segoe UI"/>
                <w:color w:val="212529"/>
                <w:sz w:val="21"/>
                <w:szCs w:val="21"/>
              </w:rPr>
            </w:pPr>
          </w:p>
        </w:tc>
        <w:tc>
          <w:tcPr>
            <w:tcW w:w="805" w:type="dxa"/>
          </w:tcPr>
          <w:p w14:paraId="2749A91C" w14:textId="77777777" w:rsidR="002B14BE" w:rsidRPr="00905920" w:rsidRDefault="002B14BE" w:rsidP="000D7516">
            <w:pPr>
              <w:rPr>
                <w:rFonts w:ascii="Segoe UI" w:hAnsi="Segoe UI" w:cs="Segoe UI"/>
                <w:color w:val="212529"/>
                <w:sz w:val="21"/>
                <w:szCs w:val="21"/>
              </w:rPr>
            </w:pPr>
          </w:p>
        </w:tc>
      </w:tr>
      <w:tr w:rsidR="002B14BE" w14:paraId="25E993D2" w14:textId="77777777" w:rsidTr="000D7516">
        <w:tc>
          <w:tcPr>
            <w:tcW w:w="1255" w:type="dxa"/>
          </w:tcPr>
          <w:p w14:paraId="45E6FCB3"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 of Persons</w:t>
            </w:r>
          </w:p>
        </w:tc>
        <w:tc>
          <w:tcPr>
            <w:tcW w:w="990" w:type="dxa"/>
          </w:tcPr>
          <w:p w14:paraId="49792B87" w14:textId="2DE72DFF" w:rsidR="002B14BE" w:rsidRPr="00905920" w:rsidRDefault="002B14BE" w:rsidP="000D7516">
            <w:pPr>
              <w:rPr>
                <w:rFonts w:ascii="Segoe UI" w:hAnsi="Segoe UI" w:cs="Segoe UI"/>
                <w:color w:val="212529"/>
                <w:sz w:val="21"/>
                <w:szCs w:val="21"/>
              </w:rPr>
            </w:pPr>
            <w:r w:rsidRPr="00905920">
              <w:rPr>
                <w:rFonts w:ascii="Segoe UI" w:hAnsi="Segoe UI" w:cs="Segoe UI"/>
                <w:color w:val="212529"/>
                <w:sz w:val="21"/>
                <w:szCs w:val="21"/>
              </w:rPr>
              <w:t>1</w:t>
            </w:r>
            <w:r w:rsidR="00811246">
              <w:rPr>
                <w:rFonts w:ascii="Segoe UI" w:hAnsi="Segoe UI" w:cs="Segoe UI"/>
                <w:color w:val="212529"/>
                <w:sz w:val="21"/>
                <w:szCs w:val="21"/>
              </w:rPr>
              <w:t>50</w:t>
            </w:r>
          </w:p>
        </w:tc>
        <w:tc>
          <w:tcPr>
            <w:tcW w:w="990" w:type="dxa"/>
          </w:tcPr>
          <w:p w14:paraId="4887C557" w14:textId="2B302B2B" w:rsidR="002B14BE" w:rsidRPr="00905920" w:rsidRDefault="002B14BE" w:rsidP="000D7516">
            <w:pPr>
              <w:rPr>
                <w:rFonts w:ascii="Segoe UI" w:hAnsi="Segoe UI" w:cs="Segoe UI"/>
                <w:color w:val="212529"/>
                <w:sz w:val="21"/>
                <w:szCs w:val="21"/>
              </w:rPr>
            </w:pPr>
            <w:r>
              <w:rPr>
                <w:rFonts w:ascii="Segoe UI" w:hAnsi="Segoe UI" w:cs="Segoe UI"/>
                <w:color w:val="212529"/>
                <w:sz w:val="21"/>
                <w:szCs w:val="21"/>
              </w:rPr>
              <w:t>1</w:t>
            </w:r>
            <w:r w:rsidR="00811246">
              <w:rPr>
                <w:rFonts w:ascii="Segoe UI" w:hAnsi="Segoe UI" w:cs="Segoe UI"/>
                <w:color w:val="212529"/>
                <w:sz w:val="21"/>
                <w:szCs w:val="21"/>
              </w:rPr>
              <w:t>50</w:t>
            </w:r>
          </w:p>
        </w:tc>
        <w:tc>
          <w:tcPr>
            <w:tcW w:w="990" w:type="dxa"/>
          </w:tcPr>
          <w:p w14:paraId="1BAA78A5" w14:textId="77777777" w:rsidR="002B14BE" w:rsidRPr="00905920" w:rsidRDefault="002B14BE" w:rsidP="000D7516">
            <w:pPr>
              <w:rPr>
                <w:rFonts w:ascii="Segoe UI" w:hAnsi="Segoe UI" w:cs="Segoe UI"/>
                <w:color w:val="212529"/>
                <w:sz w:val="21"/>
                <w:szCs w:val="21"/>
              </w:rPr>
            </w:pPr>
            <w:r>
              <w:rPr>
                <w:rFonts w:ascii="Segoe UI" w:hAnsi="Segoe UI" w:cs="Segoe UI"/>
                <w:color w:val="212529"/>
                <w:sz w:val="21"/>
                <w:szCs w:val="21"/>
              </w:rPr>
              <w:t>0</w:t>
            </w:r>
          </w:p>
        </w:tc>
        <w:tc>
          <w:tcPr>
            <w:tcW w:w="900" w:type="dxa"/>
          </w:tcPr>
          <w:p w14:paraId="75E303D7" w14:textId="2ED337A7" w:rsidR="002B14BE" w:rsidRPr="00905920" w:rsidRDefault="00811246" w:rsidP="000D7516">
            <w:pPr>
              <w:rPr>
                <w:rFonts w:ascii="Segoe UI" w:hAnsi="Segoe UI" w:cs="Segoe UI"/>
                <w:color w:val="212529"/>
                <w:sz w:val="21"/>
                <w:szCs w:val="21"/>
              </w:rPr>
            </w:pPr>
            <w:r>
              <w:rPr>
                <w:rFonts w:ascii="Segoe UI" w:hAnsi="Segoe UI" w:cs="Segoe UI"/>
                <w:color w:val="212529"/>
                <w:sz w:val="21"/>
                <w:szCs w:val="21"/>
              </w:rPr>
              <w:t>68</w:t>
            </w:r>
          </w:p>
        </w:tc>
        <w:tc>
          <w:tcPr>
            <w:tcW w:w="900" w:type="dxa"/>
          </w:tcPr>
          <w:p w14:paraId="21174E43" w14:textId="7A0CEA2F" w:rsidR="002B14BE" w:rsidRPr="00905920" w:rsidRDefault="00811246" w:rsidP="000D7516">
            <w:pPr>
              <w:rPr>
                <w:rFonts w:ascii="Segoe UI" w:hAnsi="Segoe UI" w:cs="Segoe UI"/>
                <w:color w:val="212529"/>
                <w:sz w:val="21"/>
                <w:szCs w:val="21"/>
              </w:rPr>
            </w:pPr>
            <w:r>
              <w:rPr>
                <w:rFonts w:ascii="Segoe UI" w:hAnsi="Segoe UI" w:cs="Segoe UI"/>
                <w:color w:val="212529"/>
                <w:sz w:val="21"/>
                <w:szCs w:val="21"/>
              </w:rPr>
              <w:t>68</w:t>
            </w:r>
          </w:p>
        </w:tc>
        <w:tc>
          <w:tcPr>
            <w:tcW w:w="900" w:type="dxa"/>
          </w:tcPr>
          <w:p w14:paraId="16221D42" w14:textId="77777777" w:rsidR="002B14BE" w:rsidRPr="00905920" w:rsidRDefault="002B14BE" w:rsidP="000D7516">
            <w:pPr>
              <w:rPr>
                <w:rFonts w:ascii="Segoe UI" w:hAnsi="Segoe UI" w:cs="Segoe UI"/>
                <w:color w:val="212529"/>
                <w:sz w:val="21"/>
                <w:szCs w:val="21"/>
              </w:rPr>
            </w:pPr>
            <w:r>
              <w:rPr>
                <w:rFonts w:ascii="Segoe UI" w:hAnsi="Segoe UI" w:cs="Segoe UI"/>
                <w:color w:val="212529"/>
                <w:sz w:val="21"/>
                <w:szCs w:val="21"/>
              </w:rPr>
              <w:t>0</w:t>
            </w:r>
          </w:p>
        </w:tc>
        <w:tc>
          <w:tcPr>
            <w:tcW w:w="810" w:type="dxa"/>
          </w:tcPr>
          <w:p w14:paraId="35C93A4E" w14:textId="341DADDC" w:rsidR="002B14BE" w:rsidRPr="00905920" w:rsidRDefault="00811246" w:rsidP="000D7516">
            <w:pPr>
              <w:rPr>
                <w:rFonts w:ascii="Segoe UI" w:hAnsi="Segoe UI" w:cs="Segoe UI"/>
                <w:color w:val="212529"/>
                <w:sz w:val="21"/>
                <w:szCs w:val="21"/>
              </w:rPr>
            </w:pPr>
            <w:r>
              <w:rPr>
                <w:rFonts w:ascii="Segoe UI" w:hAnsi="Segoe UI" w:cs="Segoe UI"/>
                <w:color w:val="212529"/>
                <w:sz w:val="21"/>
                <w:szCs w:val="21"/>
              </w:rPr>
              <w:t>217</w:t>
            </w:r>
          </w:p>
        </w:tc>
        <w:tc>
          <w:tcPr>
            <w:tcW w:w="810" w:type="dxa"/>
          </w:tcPr>
          <w:p w14:paraId="03CE8733" w14:textId="61D8AB40" w:rsidR="002B14BE" w:rsidRPr="00905920" w:rsidRDefault="00811246" w:rsidP="000D7516">
            <w:pPr>
              <w:rPr>
                <w:rFonts w:ascii="Segoe UI" w:hAnsi="Segoe UI" w:cs="Segoe UI"/>
                <w:color w:val="212529"/>
                <w:sz w:val="21"/>
                <w:szCs w:val="21"/>
              </w:rPr>
            </w:pPr>
            <w:r>
              <w:rPr>
                <w:rFonts w:ascii="Segoe UI" w:hAnsi="Segoe UI" w:cs="Segoe UI"/>
                <w:color w:val="212529"/>
                <w:sz w:val="21"/>
                <w:szCs w:val="21"/>
              </w:rPr>
              <w:t>217</w:t>
            </w:r>
          </w:p>
        </w:tc>
        <w:tc>
          <w:tcPr>
            <w:tcW w:w="805" w:type="dxa"/>
          </w:tcPr>
          <w:p w14:paraId="2525603C" w14:textId="77777777" w:rsidR="002B14BE" w:rsidRPr="00905920" w:rsidRDefault="002B14BE" w:rsidP="000D7516">
            <w:pPr>
              <w:rPr>
                <w:rFonts w:ascii="Segoe UI" w:hAnsi="Segoe UI" w:cs="Segoe UI"/>
                <w:color w:val="212529"/>
                <w:sz w:val="21"/>
                <w:szCs w:val="21"/>
              </w:rPr>
            </w:pPr>
            <w:r>
              <w:rPr>
                <w:rFonts w:ascii="Segoe UI" w:hAnsi="Segoe UI" w:cs="Segoe UI"/>
                <w:color w:val="212529"/>
                <w:sz w:val="21"/>
                <w:szCs w:val="21"/>
              </w:rPr>
              <w:t>0</w:t>
            </w:r>
          </w:p>
        </w:tc>
      </w:tr>
    </w:tbl>
    <w:p w14:paraId="0CD8B7B5" w14:textId="77777777" w:rsidR="002B14BE" w:rsidRDefault="002B14BE" w:rsidP="002B14BE">
      <w:pPr>
        <w:rPr>
          <w:rFonts w:ascii="Segoe UI" w:hAnsi="Segoe UI" w:cs="Segoe UI"/>
          <w:b/>
          <w:bCs/>
          <w:color w:val="212529"/>
          <w:sz w:val="21"/>
          <w:szCs w:val="21"/>
          <w:u w:val="single"/>
        </w:rPr>
      </w:pPr>
    </w:p>
    <w:tbl>
      <w:tblPr>
        <w:tblStyle w:val="TableGrid"/>
        <w:tblW w:w="0" w:type="auto"/>
        <w:tblLayout w:type="fixed"/>
        <w:tblLook w:val="04A0" w:firstRow="1" w:lastRow="0" w:firstColumn="1" w:lastColumn="0" w:noHBand="0" w:noVBand="1"/>
      </w:tblPr>
      <w:tblGrid>
        <w:gridCol w:w="1366"/>
        <w:gridCol w:w="969"/>
        <w:gridCol w:w="1249"/>
        <w:gridCol w:w="1001"/>
        <w:gridCol w:w="1217"/>
        <w:gridCol w:w="1774"/>
        <w:gridCol w:w="1774"/>
      </w:tblGrid>
      <w:tr w:rsidR="002B14BE" w14:paraId="706FB014" w14:textId="77777777" w:rsidTr="000D7516">
        <w:tc>
          <w:tcPr>
            <w:tcW w:w="1366" w:type="dxa"/>
          </w:tcPr>
          <w:p w14:paraId="710C5B1D"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Race/Ethnicity</w:t>
            </w:r>
          </w:p>
        </w:tc>
        <w:tc>
          <w:tcPr>
            <w:tcW w:w="969" w:type="dxa"/>
          </w:tcPr>
          <w:p w14:paraId="021068DE"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Owner Total</w:t>
            </w:r>
          </w:p>
        </w:tc>
        <w:tc>
          <w:tcPr>
            <w:tcW w:w="1249" w:type="dxa"/>
          </w:tcPr>
          <w:p w14:paraId="4A93AD8B"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Owner Hispanic/Latino</w:t>
            </w:r>
          </w:p>
        </w:tc>
        <w:tc>
          <w:tcPr>
            <w:tcW w:w="1001" w:type="dxa"/>
          </w:tcPr>
          <w:p w14:paraId="1E757D60"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Renter Total</w:t>
            </w:r>
          </w:p>
        </w:tc>
        <w:tc>
          <w:tcPr>
            <w:tcW w:w="1217" w:type="dxa"/>
          </w:tcPr>
          <w:p w14:paraId="1C57881F"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Renter Hispanic/Latino</w:t>
            </w:r>
          </w:p>
        </w:tc>
        <w:tc>
          <w:tcPr>
            <w:tcW w:w="1774" w:type="dxa"/>
          </w:tcPr>
          <w:p w14:paraId="650DC23C"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Household/Persons Total</w:t>
            </w:r>
          </w:p>
        </w:tc>
        <w:tc>
          <w:tcPr>
            <w:tcW w:w="1774" w:type="dxa"/>
          </w:tcPr>
          <w:p w14:paraId="5BE161BE"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Household/Persons Hispanic/Latino</w:t>
            </w:r>
          </w:p>
        </w:tc>
      </w:tr>
      <w:tr w:rsidR="002B14BE" w14:paraId="7875B37A" w14:textId="77777777" w:rsidTr="000D7516">
        <w:tc>
          <w:tcPr>
            <w:tcW w:w="1366" w:type="dxa"/>
          </w:tcPr>
          <w:p w14:paraId="07C2EB5A"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Direct Benefit – This Report Period</w:t>
            </w:r>
          </w:p>
        </w:tc>
        <w:tc>
          <w:tcPr>
            <w:tcW w:w="969" w:type="dxa"/>
          </w:tcPr>
          <w:p w14:paraId="5BCB8761" w14:textId="77777777" w:rsidR="002B14BE" w:rsidRPr="00261878" w:rsidRDefault="002B14BE" w:rsidP="000D7516">
            <w:pPr>
              <w:rPr>
                <w:rFonts w:ascii="Segoe UI" w:hAnsi="Segoe UI" w:cs="Segoe UI"/>
                <w:color w:val="212529"/>
                <w:sz w:val="21"/>
                <w:szCs w:val="21"/>
              </w:rPr>
            </w:pPr>
            <w:r w:rsidRPr="00261878">
              <w:rPr>
                <w:rFonts w:ascii="Segoe UI" w:hAnsi="Segoe UI" w:cs="Segoe UI"/>
                <w:color w:val="212529"/>
                <w:sz w:val="21"/>
                <w:szCs w:val="21"/>
              </w:rPr>
              <w:t>0</w:t>
            </w:r>
          </w:p>
        </w:tc>
        <w:tc>
          <w:tcPr>
            <w:tcW w:w="1249" w:type="dxa"/>
          </w:tcPr>
          <w:p w14:paraId="2A156A1C" w14:textId="77777777" w:rsidR="002B14BE" w:rsidRPr="00261878" w:rsidRDefault="002B14BE" w:rsidP="000D7516">
            <w:pPr>
              <w:rPr>
                <w:rFonts w:ascii="Segoe UI" w:hAnsi="Segoe UI" w:cs="Segoe UI"/>
                <w:color w:val="212529"/>
                <w:sz w:val="21"/>
                <w:szCs w:val="21"/>
              </w:rPr>
            </w:pPr>
            <w:r w:rsidRPr="00261878">
              <w:rPr>
                <w:rFonts w:ascii="Segoe UI" w:hAnsi="Segoe UI" w:cs="Segoe UI"/>
                <w:color w:val="212529"/>
                <w:sz w:val="21"/>
                <w:szCs w:val="21"/>
              </w:rPr>
              <w:t>0</w:t>
            </w:r>
          </w:p>
        </w:tc>
        <w:tc>
          <w:tcPr>
            <w:tcW w:w="1001" w:type="dxa"/>
          </w:tcPr>
          <w:p w14:paraId="12946DCB" w14:textId="77777777" w:rsidR="002B14BE" w:rsidRPr="00261878" w:rsidRDefault="002B14BE" w:rsidP="000D7516">
            <w:pPr>
              <w:rPr>
                <w:rFonts w:ascii="Segoe UI" w:hAnsi="Segoe UI" w:cs="Segoe UI"/>
                <w:color w:val="212529"/>
                <w:sz w:val="21"/>
                <w:szCs w:val="21"/>
              </w:rPr>
            </w:pPr>
            <w:r w:rsidRPr="00261878">
              <w:rPr>
                <w:rFonts w:ascii="Segoe UI" w:hAnsi="Segoe UI" w:cs="Segoe UI"/>
                <w:color w:val="212529"/>
                <w:sz w:val="21"/>
                <w:szCs w:val="21"/>
              </w:rPr>
              <w:t>0</w:t>
            </w:r>
          </w:p>
        </w:tc>
        <w:tc>
          <w:tcPr>
            <w:tcW w:w="1217" w:type="dxa"/>
          </w:tcPr>
          <w:p w14:paraId="6344D25F" w14:textId="77777777" w:rsidR="002B14BE" w:rsidRPr="00261878" w:rsidRDefault="002B14BE" w:rsidP="000D7516">
            <w:pPr>
              <w:rPr>
                <w:rFonts w:ascii="Segoe UI" w:hAnsi="Segoe UI" w:cs="Segoe UI"/>
                <w:color w:val="212529"/>
                <w:sz w:val="21"/>
                <w:szCs w:val="21"/>
              </w:rPr>
            </w:pPr>
            <w:r w:rsidRPr="00261878">
              <w:rPr>
                <w:rFonts w:ascii="Segoe UI" w:hAnsi="Segoe UI" w:cs="Segoe UI"/>
                <w:color w:val="212529"/>
                <w:sz w:val="21"/>
                <w:szCs w:val="21"/>
              </w:rPr>
              <w:t>0</w:t>
            </w:r>
          </w:p>
        </w:tc>
        <w:tc>
          <w:tcPr>
            <w:tcW w:w="1774" w:type="dxa"/>
          </w:tcPr>
          <w:p w14:paraId="6247673E" w14:textId="3E169999" w:rsidR="002B14BE" w:rsidRPr="00261878" w:rsidRDefault="00811246" w:rsidP="000D7516">
            <w:pPr>
              <w:rPr>
                <w:rFonts w:ascii="Segoe UI" w:hAnsi="Segoe UI" w:cs="Segoe UI"/>
                <w:color w:val="212529"/>
                <w:sz w:val="21"/>
                <w:szCs w:val="21"/>
              </w:rPr>
            </w:pPr>
            <w:r>
              <w:rPr>
                <w:rFonts w:ascii="Segoe UI" w:hAnsi="Segoe UI" w:cs="Segoe UI"/>
                <w:color w:val="212529"/>
                <w:sz w:val="21"/>
                <w:szCs w:val="21"/>
              </w:rPr>
              <w:t>68</w:t>
            </w:r>
          </w:p>
        </w:tc>
        <w:tc>
          <w:tcPr>
            <w:tcW w:w="1774" w:type="dxa"/>
          </w:tcPr>
          <w:p w14:paraId="6850A278" w14:textId="77777777" w:rsidR="002B14BE" w:rsidRPr="00261878" w:rsidRDefault="002B14BE" w:rsidP="000D7516">
            <w:pPr>
              <w:rPr>
                <w:rFonts w:ascii="Segoe UI" w:hAnsi="Segoe UI" w:cs="Segoe UI"/>
                <w:color w:val="212529"/>
                <w:sz w:val="21"/>
                <w:szCs w:val="21"/>
              </w:rPr>
            </w:pPr>
            <w:r w:rsidRPr="00261878">
              <w:rPr>
                <w:rFonts w:ascii="Segoe UI" w:hAnsi="Segoe UI" w:cs="Segoe UI"/>
                <w:color w:val="212529"/>
                <w:sz w:val="21"/>
                <w:szCs w:val="21"/>
              </w:rPr>
              <w:t>0</w:t>
            </w:r>
          </w:p>
        </w:tc>
      </w:tr>
      <w:tr w:rsidR="002B14BE" w14:paraId="0E4345D2" w14:textId="77777777" w:rsidTr="000D7516">
        <w:tc>
          <w:tcPr>
            <w:tcW w:w="1366" w:type="dxa"/>
          </w:tcPr>
          <w:p w14:paraId="56734003" w14:textId="77777777" w:rsidR="002B14BE" w:rsidRDefault="002B14BE" w:rsidP="000D7516">
            <w:pPr>
              <w:rPr>
                <w:rFonts w:ascii="Segoe UI" w:hAnsi="Segoe UI" w:cs="Segoe UI"/>
                <w:b/>
                <w:bCs/>
                <w:color w:val="212529"/>
                <w:sz w:val="21"/>
                <w:szCs w:val="21"/>
                <w:u w:val="single"/>
              </w:rPr>
            </w:pPr>
            <w:r>
              <w:rPr>
                <w:rFonts w:ascii="Segoe UI" w:hAnsi="Segoe UI" w:cs="Segoe UI"/>
                <w:b/>
                <w:bCs/>
                <w:color w:val="212529"/>
                <w:sz w:val="21"/>
                <w:szCs w:val="21"/>
                <w:u w:val="single"/>
              </w:rPr>
              <w:t>Direct Benefit – To Date</w:t>
            </w:r>
          </w:p>
        </w:tc>
        <w:tc>
          <w:tcPr>
            <w:tcW w:w="969" w:type="dxa"/>
          </w:tcPr>
          <w:p w14:paraId="1E6B9420" w14:textId="77777777" w:rsidR="002B14BE" w:rsidRPr="00261878" w:rsidRDefault="002B14BE" w:rsidP="000D7516">
            <w:pPr>
              <w:rPr>
                <w:rFonts w:ascii="Segoe UI" w:hAnsi="Segoe UI" w:cs="Segoe UI"/>
                <w:color w:val="212529"/>
                <w:sz w:val="21"/>
                <w:szCs w:val="21"/>
              </w:rPr>
            </w:pPr>
            <w:r w:rsidRPr="00261878">
              <w:rPr>
                <w:rFonts w:ascii="Segoe UI" w:hAnsi="Segoe UI" w:cs="Segoe UI"/>
                <w:color w:val="212529"/>
                <w:sz w:val="21"/>
                <w:szCs w:val="21"/>
              </w:rPr>
              <w:t>0</w:t>
            </w:r>
          </w:p>
        </w:tc>
        <w:tc>
          <w:tcPr>
            <w:tcW w:w="1249" w:type="dxa"/>
          </w:tcPr>
          <w:p w14:paraId="201E4BB8" w14:textId="77777777" w:rsidR="002B14BE" w:rsidRPr="00261878" w:rsidRDefault="002B14BE" w:rsidP="000D7516">
            <w:pPr>
              <w:rPr>
                <w:rFonts w:ascii="Segoe UI" w:hAnsi="Segoe UI" w:cs="Segoe UI"/>
                <w:color w:val="212529"/>
                <w:sz w:val="21"/>
                <w:szCs w:val="21"/>
              </w:rPr>
            </w:pPr>
            <w:r w:rsidRPr="00261878">
              <w:rPr>
                <w:rFonts w:ascii="Segoe UI" w:hAnsi="Segoe UI" w:cs="Segoe UI"/>
                <w:color w:val="212529"/>
                <w:sz w:val="21"/>
                <w:szCs w:val="21"/>
              </w:rPr>
              <w:t>0</w:t>
            </w:r>
          </w:p>
        </w:tc>
        <w:tc>
          <w:tcPr>
            <w:tcW w:w="1001" w:type="dxa"/>
          </w:tcPr>
          <w:p w14:paraId="454B9F3F" w14:textId="77777777" w:rsidR="002B14BE" w:rsidRPr="00261878" w:rsidRDefault="002B14BE" w:rsidP="000D7516">
            <w:pPr>
              <w:rPr>
                <w:rFonts w:ascii="Segoe UI" w:hAnsi="Segoe UI" w:cs="Segoe UI"/>
                <w:color w:val="212529"/>
                <w:sz w:val="21"/>
                <w:szCs w:val="21"/>
              </w:rPr>
            </w:pPr>
            <w:r w:rsidRPr="00261878">
              <w:rPr>
                <w:rFonts w:ascii="Segoe UI" w:hAnsi="Segoe UI" w:cs="Segoe UI"/>
                <w:color w:val="212529"/>
                <w:sz w:val="21"/>
                <w:szCs w:val="21"/>
              </w:rPr>
              <w:t>0</w:t>
            </w:r>
          </w:p>
        </w:tc>
        <w:tc>
          <w:tcPr>
            <w:tcW w:w="1217" w:type="dxa"/>
          </w:tcPr>
          <w:p w14:paraId="0128FFB8" w14:textId="77777777" w:rsidR="002B14BE" w:rsidRPr="00261878" w:rsidRDefault="002B14BE" w:rsidP="000D7516">
            <w:pPr>
              <w:rPr>
                <w:rFonts w:ascii="Segoe UI" w:hAnsi="Segoe UI" w:cs="Segoe UI"/>
                <w:color w:val="212529"/>
                <w:sz w:val="21"/>
                <w:szCs w:val="21"/>
              </w:rPr>
            </w:pPr>
            <w:r w:rsidRPr="00261878">
              <w:rPr>
                <w:rFonts w:ascii="Segoe UI" w:hAnsi="Segoe UI" w:cs="Segoe UI"/>
                <w:color w:val="212529"/>
                <w:sz w:val="21"/>
                <w:szCs w:val="21"/>
              </w:rPr>
              <w:t>0</w:t>
            </w:r>
          </w:p>
        </w:tc>
        <w:tc>
          <w:tcPr>
            <w:tcW w:w="1774" w:type="dxa"/>
          </w:tcPr>
          <w:p w14:paraId="1CE6E26E" w14:textId="72786738" w:rsidR="002B14BE" w:rsidRPr="00261878" w:rsidRDefault="00811246" w:rsidP="000D7516">
            <w:pPr>
              <w:rPr>
                <w:rFonts w:ascii="Segoe UI" w:hAnsi="Segoe UI" w:cs="Segoe UI"/>
                <w:color w:val="212529"/>
                <w:sz w:val="21"/>
                <w:szCs w:val="21"/>
              </w:rPr>
            </w:pPr>
            <w:r>
              <w:rPr>
                <w:rFonts w:ascii="Segoe UI" w:hAnsi="Segoe UI" w:cs="Segoe UI"/>
                <w:color w:val="212529"/>
                <w:sz w:val="21"/>
                <w:szCs w:val="21"/>
              </w:rPr>
              <w:t>217</w:t>
            </w:r>
          </w:p>
        </w:tc>
        <w:tc>
          <w:tcPr>
            <w:tcW w:w="1774" w:type="dxa"/>
          </w:tcPr>
          <w:p w14:paraId="60894C5C" w14:textId="77777777" w:rsidR="002B14BE" w:rsidRPr="00261878" w:rsidRDefault="002B14BE" w:rsidP="000D7516">
            <w:pPr>
              <w:rPr>
                <w:rFonts w:ascii="Segoe UI" w:hAnsi="Segoe UI" w:cs="Segoe UI"/>
                <w:color w:val="212529"/>
                <w:sz w:val="21"/>
                <w:szCs w:val="21"/>
              </w:rPr>
            </w:pPr>
            <w:r w:rsidRPr="00261878">
              <w:rPr>
                <w:rFonts w:ascii="Segoe UI" w:hAnsi="Segoe UI" w:cs="Segoe UI"/>
                <w:color w:val="212529"/>
                <w:sz w:val="21"/>
                <w:szCs w:val="21"/>
              </w:rPr>
              <w:t>0</w:t>
            </w:r>
          </w:p>
        </w:tc>
      </w:tr>
    </w:tbl>
    <w:p w14:paraId="14F3F322" w14:textId="79C4C28D" w:rsidR="0021763E" w:rsidRPr="0021763E" w:rsidRDefault="0021763E" w:rsidP="0021763E">
      <w:pPr>
        <w:rPr>
          <w:b/>
          <w:bCs/>
          <w:u w:val="single"/>
        </w:rPr>
      </w:pPr>
    </w:p>
    <w:p w14:paraId="7B9535B0" w14:textId="77777777" w:rsidR="0021763E" w:rsidRPr="0021763E" w:rsidRDefault="0021763E" w:rsidP="0021763E">
      <w:pPr>
        <w:jc w:val="center"/>
        <w:rPr>
          <w:b/>
          <w:bCs/>
        </w:rPr>
      </w:pPr>
    </w:p>
    <w:sectPr w:rsidR="0021763E" w:rsidRPr="0021763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A784A" w14:textId="77777777" w:rsidR="00E24AF8" w:rsidRDefault="00E24AF8" w:rsidP="00995719">
      <w:pPr>
        <w:spacing w:after="0" w:line="240" w:lineRule="auto"/>
      </w:pPr>
      <w:r>
        <w:separator/>
      </w:r>
    </w:p>
  </w:endnote>
  <w:endnote w:type="continuationSeparator" w:id="0">
    <w:p w14:paraId="552E3E93" w14:textId="77777777" w:rsidR="00E24AF8" w:rsidRDefault="00E24AF8" w:rsidP="00995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ato">
    <w:altName w:val="Lato"/>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8F422" w14:textId="77777777" w:rsidR="00E24AF8" w:rsidRDefault="00E24AF8" w:rsidP="00995719">
      <w:pPr>
        <w:spacing w:after="0" w:line="240" w:lineRule="auto"/>
      </w:pPr>
      <w:r>
        <w:separator/>
      </w:r>
    </w:p>
  </w:footnote>
  <w:footnote w:type="continuationSeparator" w:id="0">
    <w:p w14:paraId="5EBA6533" w14:textId="77777777" w:rsidR="00E24AF8" w:rsidRDefault="00E24AF8" w:rsidP="009957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63E"/>
    <w:rsid w:val="0005028E"/>
    <w:rsid w:val="0011353A"/>
    <w:rsid w:val="001B3652"/>
    <w:rsid w:val="001F0562"/>
    <w:rsid w:val="0021763E"/>
    <w:rsid w:val="00263AA7"/>
    <w:rsid w:val="00270DB0"/>
    <w:rsid w:val="00285CD4"/>
    <w:rsid w:val="002B14BE"/>
    <w:rsid w:val="002F6DB8"/>
    <w:rsid w:val="0036340E"/>
    <w:rsid w:val="003E5365"/>
    <w:rsid w:val="00415112"/>
    <w:rsid w:val="00525E06"/>
    <w:rsid w:val="00570A34"/>
    <w:rsid w:val="00580A57"/>
    <w:rsid w:val="00632DDB"/>
    <w:rsid w:val="006C43AE"/>
    <w:rsid w:val="006E663D"/>
    <w:rsid w:val="00795AE4"/>
    <w:rsid w:val="007A14C0"/>
    <w:rsid w:val="00811246"/>
    <w:rsid w:val="0084398C"/>
    <w:rsid w:val="00945804"/>
    <w:rsid w:val="0097357D"/>
    <w:rsid w:val="00995719"/>
    <w:rsid w:val="00AD5069"/>
    <w:rsid w:val="00B04BD1"/>
    <w:rsid w:val="00B05236"/>
    <w:rsid w:val="00B316D1"/>
    <w:rsid w:val="00B56FA4"/>
    <w:rsid w:val="00DE4253"/>
    <w:rsid w:val="00E24AF8"/>
    <w:rsid w:val="00F37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8CD2A"/>
  <w15:chartTrackingRefBased/>
  <w15:docId w15:val="{E2A8E7CB-EB17-421C-BB2A-AD1C07763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76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76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76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76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76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76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76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76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76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6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76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76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76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76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76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76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76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763E"/>
    <w:rPr>
      <w:rFonts w:eastAsiaTheme="majorEastAsia" w:cstheme="majorBidi"/>
      <w:color w:val="272727" w:themeColor="text1" w:themeTint="D8"/>
    </w:rPr>
  </w:style>
  <w:style w:type="paragraph" w:styleId="Title">
    <w:name w:val="Title"/>
    <w:basedOn w:val="Normal"/>
    <w:next w:val="Normal"/>
    <w:link w:val="TitleChar"/>
    <w:uiPriority w:val="10"/>
    <w:qFormat/>
    <w:rsid w:val="002176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76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76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76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763E"/>
    <w:pPr>
      <w:spacing w:before="160"/>
      <w:jc w:val="center"/>
    </w:pPr>
    <w:rPr>
      <w:i/>
      <w:iCs/>
      <w:color w:val="404040" w:themeColor="text1" w:themeTint="BF"/>
    </w:rPr>
  </w:style>
  <w:style w:type="character" w:customStyle="1" w:styleId="QuoteChar">
    <w:name w:val="Quote Char"/>
    <w:basedOn w:val="DefaultParagraphFont"/>
    <w:link w:val="Quote"/>
    <w:uiPriority w:val="29"/>
    <w:rsid w:val="0021763E"/>
    <w:rPr>
      <w:i/>
      <w:iCs/>
      <w:color w:val="404040" w:themeColor="text1" w:themeTint="BF"/>
    </w:rPr>
  </w:style>
  <w:style w:type="paragraph" w:styleId="ListParagraph">
    <w:name w:val="List Paragraph"/>
    <w:basedOn w:val="Normal"/>
    <w:uiPriority w:val="34"/>
    <w:qFormat/>
    <w:rsid w:val="0021763E"/>
    <w:pPr>
      <w:ind w:left="720"/>
      <w:contextualSpacing/>
    </w:pPr>
  </w:style>
  <w:style w:type="character" w:styleId="IntenseEmphasis">
    <w:name w:val="Intense Emphasis"/>
    <w:basedOn w:val="DefaultParagraphFont"/>
    <w:uiPriority w:val="21"/>
    <w:qFormat/>
    <w:rsid w:val="0021763E"/>
    <w:rPr>
      <w:i/>
      <w:iCs/>
      <w:color w:val="0F4761" w:themeColor="accent1" w:themeShade="BF"/>
    </w:rPr>
  </w:style>
  <w:style w:type="paragraph" w:styleId="IntenseQuote">
    <w:name w:val="Intense Quote"/>
    <w:basedOn w:val="Normal"/>
    <w:next w:val="Normal"/>
    <w:link w:val="IntenseQuoteChar"/>
    <w:uiPriority w:val="30"/>
    <w:qFormat/>
    <w:rsid w:val="002176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763E"/>
    <w:rPr>
      <w:i/>
      <w:iCs/>
      <w:color w:val="0F4761" w:themeColor="accent1" w:themeShade="BF"/>
    </w:rPr>
  </w:style>
  <w:style w:type="character" w:styleId="IntenseReference">
    <w:name w:val="Intense Reference"/>
    <w:basedOn w:val="DefaultParagraphFont"/>
    <w:uiPriority w:val="32"/>
    <w:qFormat/>
    <w:rsid w:val="0021763E"/>
    <w:rPr>
      <w:b/>
      <w:bCs/>
      <w:smallCaps/>
      <w:color w:val="0F4761" w:themeColor="accent1" w:themeShade="BF"/>
      <w:spacing w:val="5"/>
    </w:rPr>
  </w:style>
  <w:style w:type="paragraph" w:styleId="Header">
    <w:name w:val="header"/>
    <w:basedOn w:val="Normal"/>
    <w:link w:val="HeaderChar"/>
    <w:uiPriority w:val="99"/>
    <w:unhideWhenUsed/>
    <w:rsid w:val="009957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719"/>
  </w:style>
  <w:style w:type="paragraph" w:styleId="Footer">
    <w:name w:val="footer"/>
    <w:basedOn w:val="Normal"/>
    <w:link w:val="FooterChar"/>
    <w:uiPriority w:val="99"/>
    <w:unhideWhenUsed/>
    <w:rsid w:val="009957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719"/>
  </w:style>
  <w:style w:type="table" w:styleId="TableGrid">
    <w:name w:val="Table Grid"/>
    <w:basedOn w:val="TableNormal"/>
    <w:uiPriority w:val="39"/>
    <w:rsid w:val="002B14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211</TotalTime>
  <Pages>4</Pages>
  <Words>1095</Words>
  <Characters>6248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Alec Robertson</dc:creator>
  <cp:keywords/>
  <dc:description/>
  <cp:lastModifiedBy>Alec Robertson</cp:lastModifiedBy>
  <cp:revision>13</cp:revision>
  <dcterms:created xsi:type="dcterms:W3CDTF">2026-09-23T16:36:00Z</dcterms:created>
  <dcterms:modified xsi:type="dcterms:W3CDTF">2026-09-24T15:36:00Z</dcterms:modified>
</cp:coreProperties>
</file>