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193FC" w14:textId="7EE2D290" w:rsidR="00D92D73" w:rsidRPr="00340EE8" w:rsidRDefault="009A4EF2" w:rsidP="007C22D4">
      <w:pPr>
        <w:pStyle w:val="Title"/>
        <w:pBdr>
          <w:bottom w:val="single" w:sz="24" w:space="0" w:color="2E96B6"/>
        </w:pBdr>
        <w:jc w:val="center"/>
        <w:rPr>
          <w:rFonts w:asciiTheme="minorHAnsi" w:hAnsiTheme="minorHAnsi" w:cstheme="minorHAnsi"/>
        </w:rPr>
      </w:pPr>
      <w:r w:rsidRPr="00340EE8">
        <w:rPr>
          <w:rFonts w:asciiTheme="minorHAnsi" w:hAnsiTheme="minorHAnsi" w:cstheme="minorHAnsi"/>
          <w:noProof/>
        </w:rPr>
        <mc:AlternateContent>
          <mc:Choice Requires="wps">
            <w:drawing>
              <wp:anchor distT="0" distB="0" distL="114300" distR="114300" simplePos="0" relativeHeight="251665408" behindDoc="0" locked="0" layoutInCell="1" allowOverlap="1" wp14:anchorId="37D10A1D" wp14:editId="63C104D2">
                <wp:simplePos x="0" y="0"/>
                <wp:positionH relativeFrom="column">
                  <wp:posOffset>-668655</wp:posOffset>
                </wp:positionH>
                <wp:positionV relativeFrom="paragraph">
                  <wp:posOffset>-707390</wp:posOffset>
                </wp:positionV>
                <wp:extent cx="7299325" cy="9589135"/>
                <wp:effectExtent l="19050" t="1905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99325" cy="9589135"/>
                        </a:xfrm>
                        <a:prstGeom prst="rect">
                          <a:avLst/>
                        </a:prstGeom>
                        <a:noFill/>
                        <a:ln w="28575">
                          <a:solidFill>
                            <a:srgbClr val="2E96B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252A541" id="Rectangle 4" o:spid="_x0000_s1026" style="position:absolute;margin-left:-52.65pt;margin-top:-55.7pt;width:574.75pt;height:755.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" filled="f" strokecolor="#2e96b6" strokeweight="2.25pt">
                <v:path arrowok="t"/>
              </v:rect>
            </w:pict>
          </mc:Fallback>
        </mc:AlternateContent>
      </w:r>
      <w:r w:rsidR="00005D6B" w:rsidRPr="00340EE8">
        <w:rPr>
          <w:rFonts w:asciiTheme="minorHAnsi" w:hAnsiTheme="minorHAnsi" w:cstheme="minorHAnsi"/>
          <w:noProof/>
        </w:rPr>
        <w:drawing>
          <wp:anchor distT="0" distB="0" distL="114300" distR="114300" simplePos="0" relativeHeight="251664384" behindDoc="1" locked="0" layoutInCell="1" allowOverlap="1" wp14:anchorId="11A5CB77" wp14:editId="732D6C05">
            <wp:simplePos x="0" y="0"/>
            <wp:positionH relativeFrom="column">
              <wp:posOffset>-238622</wp:posOffset>
            </wp:positionH>
            <wp:positionV relativeFrom="paragraph">
              <wp:posOffset>1730209</wp:posOffset>
            </wp:positionV>
            <wp:extent cx="6600825" cy="3068955"/>
            <wp:effectExtent l="0" t="0" r="9525" b="0"/>
            <wp:wrapTight wrapText="bothSides">
              <wp:wrapPolygon edited="0">
                <wp:start x="249" y="0"/>
                <wp:lineTo x="0" y="268"/>
                <wp:lineTo x="0" y="21318"/>
                <wp:lineTo x="249" y="21453"/>
                <wp:lineTo x="21319" y="21453"/>
                <wp:lineTo x="21569" y="21318"/>
                <wp:lineTo x="21569" y="268"/>
                <wp:lineTo x="21319" y="0"/>
                <wp:lineTo x="249" y="0"/>
              </wp:wrapPolygon>
            </wp:wrapTight>
            <wp:docPr id="10" name="Picture 10" descr="New Mexico Mortgage Finance Authority - Mortgage lender, Lead Avenue  Southwest, Albuquerque, NM - Nz.thebestplaces.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Mexico Mortgage Finance Authority - Mortgage lender, Lead Avenue  Southwest, Albuquerque, NM - Nz.thebestplaces.ne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00825" cy="306895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E36310" w:rsidRPr="00340EE8">
        <w:rPr>
          <w:rFonts w:asciiTheme="minorHAnsi" w:hAnsiTheme="minorHAnsi" w:cstheme="minorHAnsi"/>
          <w:noProof/>
          <w:sz w:val="20"/>
        </w:rPr>
        <w:drawing>
          <wp:inline distT="0" distB="0" distL="0" distR="0" wp14:anchorId="5424E924" wp14:editId="222F39B8">
            <wp:extent cx="1643492" cy="1374648"/>
            <wp:effectExtent l="0" t="0" r="0" b="0"/>
            <wp:docPr id="1" name="image1.jpeg"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Logo, company nam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43492" cy="1374648"/>
                    </a:xfrm>
                    <a:prstGeom prst="rect">
                      <a:avLst/>
                    </a:prstGeom>
                  </pic:spPr>
                </pic:pic>
              </a:graphicData>
            </a:graphic>
          </wp:inline>
        </w:drawing>
      </w:r>
    </w:p>
    <w:p w14:paraId="49318CCB" w14:textId="61B01DF2" w:rsidR="00D92D73" w:rsidRPr="00340EE8" w:rsidRDefault="00D92D73" w:rsidP="007C22D4">
      <w:pPr>
        <w:pStyle w:val="Title"/>
        <w:pBdr>
          <w:bottom w:val="single" w:sz="24" w:space="0" w:color="2E96B6"/>
        </w:pBdr>
        <w:rPr>
          <w:rFonts w:asciiTheme="minorHAnsi" w:hAnsiTheme="minorHAnsi" w:cstheme="minorHAnsi"/>
        </w:rPr>
      </w:pPr>
    </w:p>
    <w:p w14:paraId="681F94DC" w14:textId="0F2165E5" w:rsidR="00D92D73" w:rsidRPr="00340EE8" w:rsidRDefault="00005D6B" w:rsidP="00005D6B">
      <w:pPr>
        <w:jc w:val="center"/>
        <w:rPr>
          <w:rFonts w:cstheme="minorHAnsi"/>
          <w:sz w:val="56"/>
          <w:szCs w:val="56"/>
        </w:rPr>
      </w:pPr>
      <w:r w:rsidRPr="00340EE8">
        <w:rPr>
          <w:rFonts w:cstheme="minorHAnsi"/>
          <w:sz w:val="56"/>
          <w:szCs w:val="56"/>
        </w:rPr>
        <w:t>Recovery</w:t>
      </w:r>
      <w:r w:rsidR="00E36310" w:rsidRPr="00340EE8">
        <w:rPr>
          <w:rFonts w:cstheme="minorHAnsi"/>
          <w:sz w:val="56"/>
          <w:szCs w:val="56"/>
        </w:rPr>
        <w:t xml:space="preserve"> Housing P</w:t>
      </w:r>
      <w:r w:rsidRPr="00340EE8">
        <w:rPr>
          <w:rFonts w:cstheme="minorHAnsi"/>
          <w:sz w:val="56"/>
          <w:szCs w:val="56"/>
        </w:rPr>
        <w:t>r</w:t>
      </w:r>
      <w:r w:rsidR="00E36310" w:rsidRPr="00340EE8">
        <w:rPr>
          <w:rFonts w:cstheme="minorHAnsi"/>
          <w:sz w:val="56"/>
          <w:szCs w:val="56"/>
        </w:rPr>
        <w:t>ogram (RHP)</w:t>
      </w:r>
    </w:p>
    <w:p w14:paraId="52AF5A33" w14:textId="0E51C6A2" w:rsidR="00E36310" w:rsidRPr="00340EE8" w:rsidRDefault="00E36310" w:rsidP="00343210">
      <w:pPr>
        <w:jc w:val="center"/>
        <w:rPr>
          <w:rFonts w:cstheme="minorHAnsi"/>
          <w:sz w:val="48"/>
          <w:szCs w:val="48"/>
        </w:rPr>
      </w:pPr>
      <w:r w:rsidRPr="00340EE8">
        <w:rPr>
          <w:rFonts w:cstheme="minorHAnsi"/>
          <w:sz w:val="48"/>
          <w:szCs w:val="48"/>
        </w:rPr>
        <w:t>FY 2</w:t>
      </w:r>
      <w:r w:rsidR="00005D6B" w:rsidRPr="00340EE8">
        <w:rPr>
          <w:rFonts w:cstheme="minorHAnsi"/>
          <w:sz w:val="48"/>
          <w:szCs w:val="48"/>
        </w:rPr>
        <w:t>022 Action Plan</w:t>
      </w:r>
    </w:p>
    <w:p w14:paraId="7F6C9E1E" w14:textId="0FB6AB6C" w:rsidR="00343210" w:rsidRPr="00340EE8" w:rsidRDefault="007C22D4" w:rsidP="00340EE8">
      <w:pPr>
        <w:pStyle w:val="Title"/>
        <w:jc w:val="center"/>
        <w:rPr>
          <w:rFonts w:asciiTheme="minorHAnsi" w:hAnsiTheme="minorHAnsi" w:cstheme="minorHAnsi"/>
        </w:rPr>
      </w:pPr>
      <w:r w:rsidRPr="00340EE8">
        <w:rPr>
          <w:rFonts w:asciiTheme="minorHAnsi" w:hAnsiTheme="minorHAnsi" w:cstheme="minorHAnsi"/>
          <w:noProof/>
          <w:sz w:val="48"/>
          <w:szCs w:val="48"/>
        </w:rPr>
        <w:drawing>
          <wp:inline distT="0" distB="0" distL="0" distR="0" wp14:anchorId="6DDB1830" wp14:editId="50D05425">
            <wp:extent cx="863600" cy="921581"/>
            <wp:effectExtent l="0" t="0" r="0" b="0"/>
            <wp:docPr id="11" name="image3.png" descr="A close up of a logo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93348" cy="953327"/>
                    </a:xfrm>
                    <a:prstGeom prst="rect">
                      <a:avLst/>
                    </a:prstGeom>
                  </pic:spPr>
                </pic:pic>
              </a:graphicData>
            </a:graphic>
          </wp:inline>
        </w:drawing>
      </w:r>
    </w:p>
    <w:p w14:paraId="0EB52D0C" w14:textId="666AD833" w:rsidR="00343210" w:rsidRPr="00340EE8" w:rsidRDefault="00343210" w:rsidP="00343210">
      <w:pPr>
        <w:pStyle w:val="Title"/>
        <w:jc w:val="center"/>
        <w:rPr>
          <w:rFonts w:asciiTheme="minorHAnsi" w:hAnsiTheme="minorHAnsi" w:cstheme="minorHAnsi"/>
        </w:rPr>
      </w:pPr>
    </w:p>
    <w:sdt>
      <w:sdtPr>
        <w:rPr>
          <w:rFonts w:cstheme="minorHAnsi"/>
          <w:caps w:val="0"/>
          <w:color w:val="auto"/>
          <w:spacing w:val="0"/>
          <w:sz w:val="20"/>
          <w:szCs w:val="20"/>
        </w:rPr>
        <w:id w:val="776223679"/>
        <w:docPartObj>
          <w:docPartGallery w:val="Table of Contents"/>
          <w:docPartUnique/>
        </w:docPartObj>
      </w:sdtPr>
      <w:sdtEndPr>
        <w:rPr>
          <w:b/>
          <w:bCs/>
          <w:noProof/>
          <w:sz w:val="22"/>
          <w:szCs w:val="22"/>
        </w:rPr>
      </w:sdtEndPr>
      <w:sdtContent>
        <w:p w14:paraId="4D4EDEE5" w14:textId="329B9EA8" w:rsidR="00005D6B" w:rsidRPr="00340EE8" w:rsidRDefault="00005D6B">
          <w:pPr>
            <w:pStyle w:val="TOCHeading"/>
            <w:rPr>
              <w:rFonts w:cstheme="minorHAnsi"/>
            </w:rPr>
          </w:pPr>
          <w:r w:rsidRPr="00340EE8">
            <w:rPr>
              <w:rFonts w:cstheme="minorHAnsi"/>
            </w:rPr>
            <w:t>Table of Contents</w:t>
          </w:r>
        </w:p>
        <w:p w14:paraId="60F55E58" w14:textId="24CCFD88" w:rsidR="0079443E" w:rsidRDefault="004D0348">
          <w:pPr>
            <w:pStyle w:val="TOC1"/>
            <w:rPr>
              <w:noProof/>
              <w:sz w:val="22"/>
              <w:szCs w:val="22"/>
            </w:rPr>
          </w:pPr>
          <w:r w:rsidRPr="00A77D94">
            <w:rPr>
              <w:rFonts w:cstheme="minorHAnsi"/>
              <w:sz w:val="22"/>
              <w:szCs w:val="22"/>
            </w:rPr>
            <w:fldChar w:fldCharType="begin"/>
          </w:r>
          <w:r w:rsidRPr="00A77D94">
            <w:rPr>
              <w:rFonts w:cstheme="minorHAnsi"/>
              <w:sz w:val="22"/>
              <w:szCs w:val="22"/>
            </w:rPr>
            <w:instrText xml:space="preserve"> TOC \o "1-2" \h \z \u </w:instrText>
          </w:r>
          <w:r w:rsidRPr="00A77D94">
            <w:rPr>
              <w:rFonts w:cstheme="minorHAnsi"/>
              <w:sz w:val="22"/>
              <w:szCs w:val="22"/>
            </w:rPr>
            <w:fldChar w:fldCharType="separate"/>
          </w:r>
          <w:hyperlink w:anchor="_Toc117606369" w:history="1">
            <w:r w:rsidR="0079443E" w:rsidRPr="00C618D6">
              <w:rPr>
                <w:rStyle w:val="Hyperlink"/>
                <w:rFonts w:cstheme="minorHAnsi"/>
                <w:noProof/>
              </w:rPr>
              <w:t>Standard Form 424 and 424D</w:t>
            </w:r>
            <w:r w:rsidR="0079443E">
              <w:rPr>
                <w:noProof/>
                <w:webHidden/>
              </w:rPr>
              <w:tab/>
            </w:r>
            <w:r w:rsidR="0079443E">
              <w:rPr>
                <w:noProof/>
                <w:webHidden/>
              </w:rPr>
              <w:fldChar w:fldCharType="begin"/>
            </w:r>
            <w:r w:rsidR="0079443E">
              <w:rPr>
                <w:noProof/>
                <w:webHidden/>
              </w:rPr>
              <w:instrText xml:space="preserve"> PAGEREF _Toc117606369 \h </w:instrText>
            </w:r>
            <w:r w:rsidR="0079443E">
              <w:rPr>
                <w:noProof/>
                <w:webHidden/>
              </w:rPr>
            </w:r>
            <w:r w:rsidR="0079443E">
              <w:rPr>
                <w:noProof/>
                <w:webHidden/>
              </w:rPr>
              <w:fldChar w:fldCharType="separate"/>
            </w:r>
            <w:r w:rsidR="0086188B">
              <w:rPr>
                <w:noProof/>
                <w:webHidden/>
              </w:rPr>
              <w:t>3</w:t>
            </w:r>
            <w:r w:rsidR="0079443E">
              <w:rPr>
                <w:noProof/>
                <w:webHidden/>
              </w:rPr>
              <w:fldChar w:fldCharType="end"/>
            </w:r>
          </w:hyperlink>
        </w:p>
        <w:p w14:paraId="40313607" w14:textId="67DA276A" w:rsidR="0079443E" w:rsidRDefault="00C664EE">
          <w:pPr>
            <w:pStyle w:val="TOC1"/>
            <w:rPr>
              <w:noProof/>
              <w:sz w:val="22"/>
              <w:szCs w:val="22"/>
            </w:rPr>
          </w:pPr>
          <w:hyperlink w:anchor="_Toc117606370" w:history="1">
            <w:r w:rsidR="0079443E" w:rsidRPr="00C618D6">
              <w:rPr>
                <w:rStyle w:val="Hyperlink"/>
                <w:rFonts w:cstheme="minorHAnsi"/>
                <w:noProof/>
              </w:rPr>
              <w:t>Program Summary</w:t>
            </w:r>
            <w:r w:rsidR="0079443E">
              <w:rPr>
                <w:noProof/>
                <w:webHidden/>
              </w:rPr>
              <w:tab/>
            </w:r>
            <w:r w:rsidR="0079443E">
              <w:rPr>
                <w:noProof/>
                <w:webHidden/>
              </w:rPr>
              <w:fldChar w:fldCharType="begin"/>
            </w:r>
            <w:r w:rsidR="0079443E">
              <w:rPr>
                <w:noProof/>
                <w:webHidden/>
              </w:rPr>
              <w:instrText xml:space="preserve"> PAGEREF _Toc117606370 \h </w:instrText>
            </w:r>
            <w:r w:rsidR="0079443E">
              <w:rPr>
                <w:noProof/>
                <w:webHidden/>
              </w:rPr>
            </w:r>
            <w:r w:rsidR="0079443E">
              <w:rPr>
                <w:noProof/>
                <w:webHidden/>
              </w:rPr>
              <w:fldChar w:fldCharType="separate"/>
            </w:r>
            <w:r w:rsidR="0086188B">
              <w:rPr>
                <w:noProof/>
                <w:webHidden/>
              </w:rPr>
              <w:t>3</w:t>
            </w:r>
            <w:r w:rsidR="0079443E">
              <w:rPr>
                <w:noProof/>
                <w:webHidden/>
              </w:rPr>
              <w:fldChar w:fldCharType="end"/>
            </w:r>
          </w:hyperlink>
        </w:p>
        <w:p w14:paraId="3AF27F23" w14:textId="6DD04D1C" w:rsidR="0079443E" w:rsidRDefault="00C664EE">
          <w:pPr>
            <w:pStyle w:val="TOC1"/>
            <w:rPr>
              <w:noProof/>
              <w:sz w:val="22"/>
              <w:szCs w:val="22"/>
            </w:rPr>
          </w:pPr>
          <w:hyperlink w:anchor="_Toc117606371" w:history="1">
            <w:r w:rsidR="0079443E" w:rsidRPr="00C618D6">
              <w:rPr>
                <w:rStyle w:val="Hyperlink"/>
                <w:rFonts w:cstheme="minorHAnsi"/>
                <w:noProof/>
              </w:rPr>
              <w:t>Resources</w:t>
            </w:r>
            <w:r w:rsidR="0079443E">
              <w:rPr>
                <w:noProof/>
                <w:webHidden/>
              </w:rPr>
              <w:tab/>
            </w:r>
            <w:r w:rsidR="0079443E">
              <w:rPr>
                <w:noProof/>
                <w:webHidden/>
              </w:rPr>
              <w:fldChar w:fldCharType="begin"/>
            </w:r>
            <w:r w:rsidR="0079443E">
              <w:rPr>
                <w:noProof/>
                <w:webHidden/>
              </w:rPr>
              <w:instrText xml:space="preserve"> PAGEREF _Toc117606371 \h </w:instrText>
            </w:r>
            <w:r w:rsidR="0079443E">
              <w:rPr>
                <w:noProof/>
                <w:webHidden/>
              </w:rPr>
            </w:r>
            <w:r w:rsidR="0079443E">
              <w:rPr>
                <w:noProof/>
                <w:webHidden/>
              </w:rPr>
              <w:fldChar w:fldCharType="separate"/>
            </w:r>
            <w:r w:rsidR="0086188B">
              <w:rPr>
                <w:noProof/>
                <w:webHidden/>
              </w:rPr>
              <w:t>4</w:t>
            </w:r>
            <w:r w:rsidR="0079443E">
              <w:rPr>
                <w:noProof/>
                <w:webHidden/>
              </w:rPr>
              <w:fldChar w:fldCharType="end"/>
            </w:r>
          </w:hyperlink>
        </w:p>
        <w:p w14:paraId="04043E55" w14:textId="6F6013E5" w:rsidR="0079443E" w:rsidRDefault="00C664EE">
          <w:pPr>
            <w:pStyle w:val="TOC2"/>
            <w:rPr>
              <w:noProof/>
              <w:sz w:val="22"/>
              <w:szCs w:val="22"/>
            </w:rPr>
          </w:pPr>
          <w:hyperlink w:anchor="_Toc117606372" w:history="1">
            <w:r w:rsidR="0079443E" w:rsidRPr="00C618D6">
              <w:rPr>
                <w:rStyle w:val="Hyperlink"/>
                <w:rFonts w:cstheme="minorHAnsi"/>
                <w:noProof/>
              </w:rPr>
              <w:t>Other Federal Resources</w:t>
            </w:r>
            <w:r w:rsidR="0079443E">
              <w:rPr>
                <w:noProof/>
                <w:webHidden/>
              </w:rPr>
              <w:tab/>
            </w:r>
            <w:r w:rsidR="0079443E">
              <w:rPr>
                <w:noProof/>
                <w:webHidden/>
              </w:rPr>
              <w:fldChar w:fldCharType="begin"/>
            </w:r>
            <w:r w:rsidR="0079443E">
              <w:rPr>
                <w:noProof/>
                <w:webHidden/>
              </w:rPr>
              <w:instrText xml:space="preserve"> PAGEREF _Toc117606372 \h </w:instrText>
            </w:r>
            <w:r w:rsidR="0079443E">
              <w:rPr>
                <w:noProof/>
                <w:webHidden/>
              </w:rPr>
            </w:r>
            <w:r w:rsidR="0079443E">
              <w:rPr>
                <w:noProof/>
                <w:webHidden/>
              </w:rPr>
              <w:fldChar w:fldCharType="separate"/>
            </w:r>
            <w:r w:rsidR="0086188B">
              <w:rPr>
                <w:noProof/>
                <w:webHidden/>
              </w:rPr>
              <w:t>4</w:t>
            </w:r>
            <w:r w:rsidR="0079443E">
              <w:rPr>
                <w:noProof/>
                <w:webHidden/>
              </w:rPr>
              <w:fldChar w:fldCharType="end"/>
            </w:r>
          </w:hyperlink>
        </w:p>
        <w:p w14:paraId="31D7E379" w14:textId="0F5DC5B7" w:rsidR="0079443E" w:rsidRDefault="00C664EE">
          <w:pPr>
            <w:pStyle w:val="TOC2"/>
            <w:rPr>
              <w:noProof/>
              <w:sz w:val="22"/>
              <w:szCs w:val="22"/>
            </w:rPr>
          </w:pPr>
          <w:hyperlink w:anchor="_Toc117606373" w:history="1">
            <w:r w:rsidR="0079443E" w:rsidRPr="00C618D6">
              <w:rPr>
                <w:rStyle w:val="Hyperlink"/>
                <w:rFonts w:cstheme="minorHAnsi"/>
                <w:noProof/>
              </w:rPr>
              <w:t>State Resources</w:t>
            </w:r>
            <w:r w:rsidR="0079443E">
              <w:rPr>
                <w:noProof/>
                <w:webHidden/>
              </w:rPr>
              <w:tab/>
            </w:r>
            <w:r w:rsidR="0079443E">
              <w:rPr>
                <w:noProof/>
                <w:webHidden/>
              </w:rPr>
              <w:fldChar w:fldCharType="begin"/>
            </w:r>
            <w:r w:rsidR="0079443E">
              <w:rPr>
                <w:noProof/>
                <w:webHidden/>
              </w:rPr>
              <w:instrText xml:space="preserve"> PAGEREF _Toc117606373 \h </w:instrText>
            </w:r>
            <w:r w:rsidR="0079443E">
              <w:rPr>
                <w:noProof/>
                <w:webHidden/>
              </w:rPr>
            </w:r>
            <w:r w:rsidR="0079443E">
              <w:rPr>
                <w:noProof/>
                <w:webHidden/>
              </w:rPr>
              <w:fldChar w:fldCharType="separate"/>
            </w:r>
            <w:r w:rsidR="0086188B">
              <w:rPr>
                <w:noProof/>
                <w:webHidden/>
              </w:rPr>
              <w:t>5</w:t>
            </w:r>
            <w:r w:rsidR="0079443E">
              <w:rPr>
                <w:noProof/>
                <w:webHidden/>
              </w:rPr>
              <w:fldChar w:fldCharType="end"/>
            </w:r>
          </w:hyperlink>
        </w:p>
        <w:p w14:paraId="423E7352" w14:textId="36CAF202" w:rsidR="0079443E" w:rsidRDefault="00C664EE">
          <w:pPr>
            <w:pStyle w:val="TOC1"/>
            <w:rPr>
              <w:noProof/>
              <w:sz w:val="22"/>
              <w:szCs w:val="22"/>
            </w:rPr>
          </w:pPr>
          <w:hyperlink w:anchor="_Toc117606374" w:history="1">
            <w:r w:rsidR="0079443E" w:rsidRPr="00C618D6">
              <w:rPr>
                <w:rStyle w:val="Hyperlink"/>
                <w:rFonts w:cstheme="minorHAnsi"/>
                <w:noProof/>
              </w:rPr>
              <w:t>Administration Summary</w:t>
            </w:r>
            <w:r w:rsidR="0079443E">
              <w:rPr>
                <w:noProof/>
                <w:webHidden/>
              </w:rPr>
              <w:tab/>
            </w:r>
            <w:r w:rsidR="0079443E">
              <w:rPr>
                <w:noProof/>
                <w:webHidden/>
              </w:rPr>
              <w:fldChar w:fldCharType="begin"/>
            </w:r>
            <w:r w:rsidR="0079443E">
              <w:rPr>
                <w:noProof/>
                <w:webHidden/>
              </w:rPr>
              <w:instrText xml:space="preserve"> PAGEREF _Toc117606374 \h </w:instrText>
            </w:r>
            <w:r w:rsidR="0079443E">
              <w:rPr>
                <w:noProof/>
                <w:webHidden/>
              </w:rPr>
            </w:r>
            <w:r w:rsidR="0079443E">
              <w:rPr>
                <w:noProof/>
                <w:webHidden/>
              </w:rPr>
              <w:fldChar w:fldCharType="separate"/>
            </w:r>
            <w:r w:rsidR="0086188B">
              <w:rPr>
                <w:noProof/>
                <w:webHidden/>
              </w:rPr>
              <w:t>5</w:t>
            </w:r>
            <w:r w:rsidR="0079443E">
              <w:rPr>
                <w:noProof/>
                <w:webHidden/>
              </w:rPr>
              <w:fldChar w:fldCharType="end"/>
            </w:r>
          </w:hyperlink>
        </w:p>
        <w:p w14:paraId="70DAECE0" w14:textId="49CEC503" w:rsidR="0079443E" w:rsidRDefault="00C664EE">
          <w:pPr>
            <w:pStyle w:val="TOC1"/>
            <w:rPr>
              <w:noProof/>
              <w:sz w:val="22"/>
              <w:szCs w:val="22"/>
            </w:rPr>
          </w:pPr>
          <w:hyperlink w:anchor="_Toc117606375" w:history="1">
            <w:r w:rsidR="0079443E" w:rsidRPr="00C618D6">
              <w:rPr>
                <w:rStyle w:val="Hyperlink"/>
                <w:rFonts w:cstheme="minorHAnsi"/>
                <w:noProof/>
              </w:rPr>
              <w:t>Use of Funds</w:t>
            </w:r>
            <w:r w:rsidR="0079443E">
              <w:rPr>
                <w:noProof/>
                <w:webHidden/>
              </w:rPr>
              <w:tab/>
            </w:r>
            <w:r w:rsidR="0079443E">
              <w:rPr>
                <w:noProof/>
                <w:webHidden/>
              </w:rPr>
              <w:fldChar w:fldCharType="begin"/>
            </w:r>
            <w:r w:rsidR="0079443E">
              <w:rPr>
                <w:noProof/>
                <w:webHidden/>
              </w:rPr>
              <w:instrText xml:space="preserve"> PAGEREF _Toc117606375 \h </w:instrText>
            </w:r>
            <w:r w:rsidR="0079443E">
              <w:rPr>
                <w:noProof/>
                <w:webHidden/>
              </w:rPr>
            </w:r>
            <w:r w:rsidR="0079443E">
              <w:rPr>
                <w:noProof/>
                <w:webHidden/>
              </w:rPr>
              <w:fldChar w:fldCharType="separate"/>
            </w:r>
            <w:r w:rsidR="0086188B">
              <w:rPr>
                <w:noProof/>
                <w:webHidden/>
              </w:rPr>
              <w:t>6</w:t>
            </w:r>
            <w:r w:rsidR="0079443E">
              <w:rPr>
                <w:noProof/>
                <w:webHidden/>
              </w:rPr>
              <w:fldChar w:fldCharType="end"/>
            </w:r>
          </w:hyperlink>
        </w:p>
        <w:p w14:paraId="19BE3048" w14:textId="7F27D8D8" w:rsidR="0079443E" w:rsidRDefault="00C664EE">
          <w:pPr>
            <w:pStyle w:val="TOC2"/>
            <w:rPr>
              <w:noProof/>
              <w:sz w:val="22"/>
              <w:szCs w:val="22"/>
            </w:rPr>
          </w:pPr>
          <w:hyperlink w:anchor="_Toc117606376" w:history="1">
            <w:r w:rsidR="0079443E" w:rsidRPr="00C618D6">
              <w:rPr>
                <w:rStyle w:val="Hyperlink"/>
                <w:rFonts w:cstheme="minorHAnsi"/>
                <w:noProof/>
              </w:rPr>
              <w:t>Eligible Activities</w:t>
            </w:r>
            <w:r w:rsidR="0079443E">
              <w:rPr>
                <w:noProof/>
                <w:webHidden/>
              </w:rPr>
              <w:tab/>
            </w:r>
            <w:r w:rsidR="0079443E">
              <w:rPr>
                <w:noProof/>
                <w:webHidden/>
              </w:rPr>
              <w:fldChar w:fldCharType="begin"/>
            </w:r>
            <w:r w:rsidR="0079443E">
              <w:rPr>
                <w:noProof/>
                <w:webHidden/>
              </w:rPr>
              <w:instrText xml:space="preserve"> PAGEREF _Toc117606376 \h </w:instrText>
            </w:r>
            <w:r w:rsidR="0079443E">
              <w:rPr>
                <w:noProof/>
                <w:webHidden/>
              </w:rPr>
            </w:r>
            <w:r w:rsidR="0079443E">
              <w:rPr>
                <w:noProof/>
                <w:webHidden/>
              </w:rPr>
              <w:fldChar w:fldCharType="separate"/>
            </w:r>
            <w:r w:rsidR="0086188B">
              <w:rPr>
                <w:noProof/>
                <w:webHidden/>
              </w:rPr>
              <w:t>6</w:t>
            </w:r>
            <w:r w:rsidR="0079443E">
              <w:rPr>
                <w:noProof/>
                <w:webHidden/>
              </w:rPr>
              <w:fldChar w:fldCharType="end"/>
            </w:r>
          </w:hyperlink>
        </w:p>
        <w:p w14:paraId="304F0B01" w14:textId="1E174484" w:rsidR="0079443E" w:rsidRDefault="00C664EE">
          <w:pPr>
            <w:pStyle w:val="TOC2"/>
            <w:rPr>
              <w:noProof/>
              <w:sz w:val="22"/>
              <w:szCs w:val="22"/>
            </w:rPr>
          </w:pPr>
          <w:hyperlink w:anchor="_Toc117606377" w:history="1">
            <w:r w:rsidR="0079443E" w:rsidRPr="00C618D6">
              <w:rPr>
                <w:rStyle w:val="Hyperlink"/>
                <w:rFonts w:cstheme="minorHAnsi"/>
                <w:noProof/>
              </w:rPr>
              <w:t>Method of Distribution</w:t>
            </w:r>
            <w:r w:rsidR="0079443E">
              <w:rPr>
                <w:noProof/>
                <w:webHidden/>
              </w:rPr>
              <w:tab/>
            </w:r>
            <w:r w:rsidR="0079443E">
              <w:rPr>
                <w:noProof/>
                <w:webHidden/>
              </w:rPr>
              <w:fldChar w:fldCharType="begin"/>
            </w:r>
            <w:r w:rsidR="0079443E">
              <w:rPr>
                <w:noProof/>
                <w:webHidden/>
              </w:rPr>
              <w:instrText xml:space="preserve"> PAGEREF _Toc117606377 \h </w:instrText>
            </w:r>
            <w:r w:rsidR="0079443E">
              <w:rPr>
                <w:noProof/>
                <w:webHidden/>
              </w:rPr>
            </w:r>
            <w:r w:rsidR="0079443E">
              <w:rPr>
                <w:noProof/>
                <w:webHidden/>
              </w:rPr>
              <w:fldChar w:fldCharType="separate"/>
            </w:r>
            <w:r w:rsidR="0086188B">
              <w:rPr>
                <w:noProof/>
                <w:webHidden/>
              </w:rPr>
              <w:t>8</w:t>
            </w:r>
            <w:r w:rsidR="0079443E">
              <w:rPr>
                <w:noProof/>
                <w:webHidden/>
              </w:rPr>
              <w:fldChar w:fldCharType="end"/>
            </w:r>
          </w:hyperlink>
        </w:p>
        <w:p w14:paraId="6365FED3" w14:textId="51230674" w:rsidR="0079443E" w:rsidRDefault="00C664EE">
          <w:pPr>
            <w:pStyle w:val="TOC2"/>
            <w:rPr>
              <w:noProof/>
              <w:sz w:val="22"/>
              <w:szCs w:val="22"/>
            </w:rPr>
          </w:pPr>
          <w:hyperlink w:anchor="_Toc117606378" w:history="1">
            <w:r w:rsidR="0079443E" w:rsidRPr="00C618D6">
              <w:rPr>
                <w:rStyle w:val="Hyperlink"/>
                <w:rFonts w:cstheme="minorHAnsi"/>
                <w:noProof/>
              </w:rPr>
              <w:t>Activities Carried Out Directly</w:t>
            </w:r>
            <w:r w:rsidR="0079443E">
              <w:rPr>
                <w:noProof/>
                <w:webHidden/>
              </w:rPr>
              <w:tab/>
            </w:r>
            <w:r w:rsidR="0079443E">
              <w:rPr>
                <w:noProof/>
                <w:webHidden/>
              </w:rPr>
              <w:fldChar w:fldCharType="begin"/>
            </w:r>
            <w:r w:rsidR="0079443E">
              <w:rPr>
                <w:noProof/>
                <w:webHidden/>
              </w:rPr>
              <w:instrText xml:space="preserve"> PAGEREF _Toc117606378 \h </w:instrText>
            </w:r>
            <w:r w:rsidR="0079443E">
              <w:rPr>
                <w:noProof/>
                <w:webHidden/>
              </w:rPr>
            </w:r>
            <w:r w:rsidR="0079443E">
              <w:rPr>
                <w:noProof/>
                <w:webHidden/>
              </w:rPr>
              <w:fldChar w:fldCharType="separate"/>
            </w:r>
            <w:r w:rsidR="0086188B">
              <w:rPr>
                <w:noProof/>
                <w:webHidden/>
              </w:rPr>
              <w:t>8</w:t>
            </w:r>
            <w:r w:rsidR="0079443E">
              <w:rPr>
                <w:noProof/>
                <w:webHidden/>
              </w:rPr>
              <w:fldChar w:fldCharType="end"/>
            </w:r>
          </w:hyperlink>
        </w:p>
        <w:p w14:paraId="5AEDE035" w14:textId="7ADADF7E" w:rsidR="0079443E" w:rsidRDefault="00C664EE">
          <w:pPr>
            <w:pStyle w:val="TOC2"/>
            <w:rPr>
              <w:noProof/>
              <w:sz w:val="22"/>
              <w:szCs w:val="22"/>
            </w:rPr>
          </w:pPr>
          <w:hyperlink w:anchor="_Toc117606379" w:history="1">
            <w:r w:rsidR="0079443E" w:rsidRPr="00C618D6">
              <w:rPr>
                <w:rStyle w:val="Hyperlink"/>
                <w:noProof/>
              </w:rPr>
              <w:t>Eligible Service Providers</w:t>
            </w:r>
            <w:r w:rsidR="0079443E">
              <w:rPr>
                <w:noProof/>
                <w:webHidden/>
              </w:rPr>
              <w:tab/>
            </w:r>
            <w:r w:rsidR="0079443E">
              <w:rPr>
                <w:noProof/>
                <w:webHidden/>
              </w:rPr>
              <w:fldChar w:fldCharType="begin"/>
            </w:r>
            <w:r w:rsidR="0079443E">
              <w:rPr>
                <w:noProof/>
                <w:webHidden/>
              </w:rPr>
              <w:instrText xml:space="preserve"> PAGEREF _Toc117606379 \h </w:instrText>
            </w:r>
            <w:r w:rsidR="0079443E">
              <w:rPr>
                <w:noProof/>
                <w:webHidden/>
              </w:rPr>
            </w:r>
            <w:r w:rsidR="0079443E">
              <w:rPr>
                <w:noProof/>
                <w:webHidden/>
              </w:rPr>
              <w:fldChar w:fldCharType="separate"/>
            </w:r>
            <w:r w:rsidR="0086188B">
              <w:rPr>
                <w:noProof/>
                <w:webHidden/>
              </w:rPr>
              <w:t>9</w:t>
            </w:r>
            <w:r w:rsidR="0079443E">
              <w:rPr>
                <w:noProof/>
                <w:webHidden/>
              </w:rPr>
              <w:fldChar w:fldCharType="end"/>
            </w:r>
          </w:hyperlink>
        </w:p>
        <w:p w14:paraId="72BF3F3F" w14:textId="1CAF3355" w:rsidR="0079443E" w:rsidRDefault="00C664EE">
          <w:pPr>
            <w:pStyle w:val="TOC2"/>
            <w:rPr>
              <w:noProof/>
              <w:sz w:val="22"/>
              <w:szCs w:val="22"/>
            </w:rPr>
          </w:pPr>
          <w:hyperlink w:anchor="_Toc117606380" w:history="1">
            <w:r w:rsidR="0079443E" w:rsidRPr="00C618D6">
              <w:rPr>
                <w:rStyle w:val="Hyperlink"/>
                <w:noProof/>
              </w:rPr>
              <w:t>Criteria for Evaluation</w:t>
            </w:r>
            <w:r w:rsidR="0079443E">
              <w:rPr>
                <w:noProof/>
                <w:webHidden/>
              </w:rPr>
              <w:tab/>
            </w:r>
            <w:r w:rsidR="0079443E">
              <w:rPr>
                <w:noProof/>
                <w:webHidden/>
              </w:rPr>
              <w:fldChar w:fldCharType="begin"/>
            </w:r>
            <w:r w:rsidR="0079443E">
              <w:rPr>
                <w:noProof/>
                <w:webHidden/>
              </w:rPr>
              <w:instrText xml:space="preserve"> PAGEREF _Toc117606380 \h </w:instrText>
            </w:r>
            <w:r w:rsidR="0079443E">
              <w:rPr>
                <w:noProof/>
                <w:webHidden/>
              </w:rPr>
            </w:r>
            <w:r w:rsidR="0079443E">
              <w:rPr>
                <w:noProof/>
                <w:webHidden/>
              </w:rPr>
              <w:fldChar w:fldCharType="separate"/>
            </w:r>
            <w:r w:rsidR="0086188B">
              <w:rPr>
                <w:noProof/>
                <w:webHidden/>
              </w:rPr>
              <w:t>9</w:t>
            </w:r>
            <w:r w:rsidR="0079443E">
              <w:rPr>
                <w:noProof/>
                <w:webHidden/>
              </w:rPr>
              <w:fldChar w:fldCharType="end"/>
            </w:r>
          </w:hyperlink>
        </w:p>
        <w:p w14:paraId="2DEA469A" w14:textId="259E4AB0" w:rsidR="0079443E" w:rsidRDefault="00C664EE">
          <w:pPr>
            <w:pStyle w:val="TOC2"/>
            <w:rPr>
              <w:noProof/>
              <w:sz w:val="22"/>
              <w:szCs w:val="22"/>
            </w:rPr>
          </w:pPr>
          <w:hyperlink w:anchor="_Toc117606381" w:history="1">
            <w:r w:rsidR="0079443E" w:rsidRPr="00C618D6">
              <w:rPr>
                <w:rStyle w:val="Hyperlink"/>
                <w:noProof/>
              </w:rPr>
              <w:t>Project Need</w:t>
            </w:r>
            <w:r w:rsidR="0079443E">
              <w:rPr>
                <w:noProof/>
                <w:webHidden/>
              </w:rPr>
              <w:tab/>
            </w:r>
            <w:r w:rsidR="0079443E">
              <w:rPr>
                <w:noProof/>
                <w:webHidden/>
              </w:rPr>
              <w:fldChar w:fldCharType="begin"/>
            </w:r>
            <w:r w:rsidR="0079443E">
              <w:rPr>
                <w:noProof/>
                <w:webHidden/>
              </w:rPr>
              <w:instrText xml:space="preserve"> PAGEREF _Toc117606381 \h </w:instrText>
            </w:r>
            <w:r w:rsidR="0079443E">
              <w:rPr>
                <w:noProof/>
                <w:webHidden/>
              </w:rPr>
            </w:r>
            <w:r w:rsidR="0079443E">
              <w:rPr>
                <w:noProof/>
                <w:webHidden/>
              </w:rPr>
              <w:fldChar w:fldCharType="separate"/>
            </w:r>
            <w:r w:rsidR="0086188B">
              <w:rPr>
                <w:noProof/>
                <w:webHidden/>
              </w:rPr>
              <w:t>9</w:t>
            </w:r>
            <w:r w:rsidR="0079443E">
              <w:rPr>
                <w:noProof/>
                <w:webHidden/>
              </w:rPr>
              <w:fldChar w:fldCharType="end"/>
            </w:r>
          </w:hyperlink>
        </w:p>
        <w:p w14:paraId="0FA35F62" w14:textId="65A26049" w:rsidR="0079443E" w:rsidRDefault="00C664EE">
          <w:pPr>
            <w:pStyle w:val="TOC2"/>
            <w:rPr>
              <w:noProof/>
              <w:sz w:val="22"/>
              <w:szCs w:val="22"/>
            </w:rPr>
          </w:pPr>
          <w:hyperlink w:anchor="_Toc117606382" w:history="1">
            <w:r w:rsidR="0079443E" w:rsidRPr="00C618D6">
              <w:rPr>
                <w:rStyle w:val="Hyperlink"/>
                <w:noProof/>
              </w:rPr>
              <w:t>Project Impact</w:t>
            </w:r>
            <w:r w:rsidR="0079443E">
              <w:rPr>
                <w:noProof/>
                <w:webHidden/>
              </w:rPr>
              <w:tab/>
            </w:r>
            <w:r w:rsidR="0079443E">
              <w:rPr>
                <w:noProof/>
                <w:webHidden/>
              </w:rPr>
              <w:fldChar w:fldCharType="begin"/>
            </w:r>
            <w:r w:rsidR="0079443E">
              <w:rPr>
                <w:noProof/>
                <w:webHidden/>
              </w:rPr>
              <w:instrText xml:space="preserve"> PAGEREF _Toc117606382 \h </w:instrText>
            </w:r>
            <w:r w:rsidR="0079443E">
              <w:rPr>
                <w:noProof/>
                <w:webHidden/>
              </w:rPr>
            </w:r>
            <w:r w:rsidR="0079443E">
              <w:rPr>
                <w:noProof/>
                <w:webHidden/>
              </w:rPr>
              <w:fldChar w:fldCharType="separate"/>
            </w:r>
            <w:r w:rsidR="0086188B">
              <w:rPr>
                <w:noProof/>
                <w:webHidden/>
              </w:rPr>
              <w:t>10</w:t>
            </w:r>
            <w:r w:rsidR="0079443E">
              <w:rPr>
                <w:noProof/>
                <w:webHidden/>
              </w:rPr>
              <w:fldChar w:fldCharType="end"/>
            </w:r>
          </w:hyperlink>
        </w:p>
        <w:p w14:paraId="098EF97D" w14:textId="4865F99A" w:rsidR="0079443E" w:rsidRDefault="00C664EE">
          <w:pPr>
            <w:pStyle w:val="TOC2"/>
            <w:rPr>
              <w:noProof/>
              <w:sz w:val="22"/>
              <w:szCs w:val="22"/>
            </w:rPr>
          </w:pPr>
          <w:hyperlink w:anchor="_Toc117606383" w:history="1">
            <w:r w:rsidR="0079443E" w:rsidRPr="00C618D6">
              <w:rPr>
                <w:rStyle w:val="Hyperlink"/>
                <w:noProof/>
              </w:rPr>
              <w:t>Project Efficiency and Feasibility</w:t>
            </w:r>
            <w:r w:rsidR="0079443E">
              <w:rPr>
                <w:noProof/>
                <w:webHidden/>
              </w:rPr>
              <w:tab/>
            </w:r>
            <w:r w:rsidR="0079443E">
              <w:rPr>
                <w:noProof/>
                <w:webHidden/>
              </w:rPr>
              <w:fldChar w:fldCharType="begin"/>
            </w:r>
            <w:r w:rsidR="0079443E">
              <w:rPr>
                <w:noProof/>
                <w:webHidden/>
              </w:rPr>
              <w:instrText xml:space="preserve"> PAGEREF _Toc117606383 \h </w:instrText>
            </w:r>
            <w:r w:rsidR="0079443E">
              <w:rPr>
                <w:noProof/>
                <w:webHidden/>
              </w:rPr>
            </w:r>
            <w:r w:rsidR="0079443E">
              <w:rPr>
                <w:noProof/>
                <w:webHidden/>
              </w:rPr>
              <w:fldChar w:fldCharType="separate"/>
            </w:r>
            <w:r w:rsidR="0086188B">
              <w:rPr>
                <w:noProof/>
                <w:webHidden/>
              </w:rPr>
              <w:t>11</w:t>
            </w:r>
            <w:r w:rsidR="0079443E">
              <w:rPr>
                <w:noProof/>
                <w:webHidden/>
              </w:rPr>
              <w:fldChar w:fldCharType="end"/>
            </w:r>
          </w:hyperlink>
        </w:p>
        <w:p w14:paraId="4D05DD71" w14:textId="34CCE4DF" w:rsidR="0079443E" w:rsidRDefault="00C664EE">
          <w:pPr>
            <w:pStyle w:val="TOC1"/>
            <w:rPr>
              <w:noProof/>
              <w:sz w:val="22"/>
              <w:szCs w:val="22"/>
            </w:rPr>
          </w:pPr>
          <w:hyperlink w:anchor="_Toc117606384" w:history="1">
            <w:r w:rsidR="0079443E" w:rsidRPr="00C618D6">
              <w:rPr>
                <w:rStyle w:val="Hyperlink"/>
                <w:rFonts w:cstheme="minorHAnsi"/>
                <w:noProof/>
              </w:rPr>
              <w:t>Definitions</w:t>
            </w:r>
            <w:r w:rsidR="0079443E">
              <w:rPr>
                <w:noProof/>
                <w:webHidden/>
              </w:rPr>
              <w:tab/>
            </w:r>
            <w:r w:rsidR="0079443E">
              <w:rPr>
                <w:noProof/>
                <w:webHidden/>
              </w:rPr>
              <w:fldChar w:fldCharType="begin"/>
            </w:r>
            <w:r w:rsidR="0079443E">
              <w:rPr>
                <w:noProof/>
                <w:webHidden/>
              </w:rPr>
              <w:instrText xml:space="preserve"> PAGEREF _Toc117606384 \h </w:instrText>
            </w:r>
            <w:r w:rsidR="0079443E">
              <w:rPr>
                <w:noProof/>
                <w:webHidden/>
              </w:rPr>
            </w:r>
            <w:r w:rsidR="0079443E">
              <w:rPr>
                <w:noProof/>
                <w:webHidden/>
              </w:rPr>
              <w:fldChar w:fldCharType="separate"/>
            </w:r>
            <w:r w:rsidR="0086188B">
              <w:rPr>
                <w:noProof/>
                <w:webHidden/>
              </w:rPr>
              <w:t>11</w:t>
            </w:r>
            <w:r w:rsidR="0079443E">
              <w:rPr>
                <w:noProof/>
                <w:webHidden/>
              </w:rPr>
              <w:fldChar w:fldCharType="end"/>
            </w:r>
          </w:hyperlink>
        </w:p>
        <w:p w14:paraId="750D1841" w14:textId="2F2A4AA7" w:rsidR="0079443E" w:rsidRDefault="00C664EE">
          <w:pPr>
            <w:pStyle w:val="TOC2"/>
            <w:rPr>
              <w:noProof/>
              <w:sz w:val="22"/>
              <w:szCs w:val="22"/>
            </w:rPr>
          </w:pPr>
          <w:hyperlink w:anchor="_Toc117606385" w:history="1">
            <w:r w:rsidR="0079443E" w:rsidRPr="00C618D6">
              <w:rPr>
                <w:rStyle w:val="Hyperlink"/>
                <w:rFonts w:cstheme="minorHAnsi"/>
                <w:noProof/>
              </w:rPr>
              <w:t>Individual in Recovery</w:t>
            </w:r>
            <w:r w:rsidR="0079443E">
              <w:rPr>
                <w:noProof/>
                <w:webHidden/>
              </w:rPr>
              <w:tab/>
            </w:r>
            <w:r w:rsidR="0079443E">
              <w:rPr>
                <w:noProof/>
                <w:webHidden/>
              </w:rPr>
              <w:fldChar w:fldCharType="begin"/>
            </w:r>
            <w:r w:rsidR="0079443E">
              <w:rPr>
                <w:noProof/>
                <w:webHidden/>
              </w:rPr>
              <w:instrText xml:space="preserve"> PAGEREF _Toc117606385 \h </w:instrText>
            </w:r>
            <w:r w:rsidR="0079443E">
              <w:rPr>
                <w:noProof/>
                <w:webHidden/>
              </w:rPr>
            </w:r>
            <w:r w:rsidR="0079443E">
              <w:rPr>
                <w:noProof/>
                <w:webHidden/>
              </w:rPr>
              <w:fldChar w:fldCharType="separate"/>
            </w:r>
            <w:r w:rsidR="0086188B">
              <w:rPr>
                <w:noProof/>
                <w:webHidden/>
              </w:rPr>
              <w:t>11</w:t>
            </w:r>
            <w:r w:rsidR="0079443E">
              <w:rPr>
                <w:noProof/>
                <w:webHidden/>
              </w:rPr>
              <w:fldChar w:fldCharType="end"/>
            </w:r>
          </w:hyperlink>
        </w:p>
        <w:p w14:paraId="12687E83" w14:textId="0B1BC7E1" w:rsidR="0079443E" w:rsidRDefault="00C664EE">
          <w:pPr>
            <w:pStyle w:val="TOC2"/>
            <w:rPr>
              <w:noProof/>
              <w:sz w:val="22"/>
              <w:szCs w:val="22"/>
            </w:rPr>
          </w:pPr>
          <w:hyperlink w:anchor="_Toc117606386" w:history="1">
            <w:r w:rsidR="0079443E" w:rsidRPr="00C618D6">
              <w:rPr>
                <w:rStyle w:val="Hyperlink"/>
                <w:rFonts w:cstheme="minorHAnsi"/>
                <w:noProof/>
              </w:rPr>
              <w:t>Substance Use Disorder</w:t>
            </w:r>
            <w:r w:rsidR="0079443E">
              <w:rPr>
                <w:noProof/>
                <w:webHidden/>
              </w:rPr>
              <w:tab/>
            </w:r>
            <w:r w:rsidR="0079443E">
              <w:rPr>
                <w:noProof/>
                <w:webHidden/>
              </w:rPr>
              <w:fldChar w:fldCharType="begin"/>
            </w:r>
            <w:r w:rsidR="0079443E">
              <w:rPr>
                <w:noProof/>
                <w:webHidden/>
              </w:rPr>
              <w:instrText xml:space="preserve"> PAGEREF _Toc117606386 \h </w:instrText>
            </w:r>
            <w:r w:rsidR="0079443E">
              <w:rPr>
                <w:noProof/>
                <w:webHidden/>
              </w:rPr>
            </w:r>
            <w:r w:rsidR="0079443E">
              <w:rPr>
                <w:noProof/>
                <w:webHidden/>
              </w:rPr>
              <w:fldChar w:fldCharType="separate"/>
            </w:r>
            <w:r w:rsidR="0086188B">
              <w:rPr>
                <w:noProof/>
                <w:webHidden/>
              </w:rPr>
              <w:t>12</w:t>
            </w:r>
            <w:r w:rsidR="0079443E">
              <w:rPr>
                <w:noProof/>
                <w:webHidden/>
              </w:rPr>
              <w:fldChar w:fldCharType="end"/>
            </w:r>
          </w:hyperlink>
        </w:p>
        <w:p w14:paraId="4DCA15AC" w14:textId="14BEB470" w:rsidR="0079443E" w:rsidRDefault="00C664EE">
          <w:pPr>
            <w:pStyle w:val="TOC2"/>
            <w:rPr>
              <w:noProof/>
              <w:sz w:val="22"/>
              <w:szCs w:val="22"/>
            </w:rPr>
          </w:pPr>
          <w:hyperlink w:anchor="_Toc117606387" w:history="1">
            <w:r w:rsidR="0079443E" w:rsidRPr="00C618D6">
              <w:rPr>
                <w:rStyle w:val="Hyperlink"/>
                <w:rFonts w:cstheme="minorHAnsi"/>
                <w:noProof/>
              </w:rPr>
              <w:t>Recovery Residence</w:t>
            </w:r>
            <w:r w:rsidR="0079443E">
              <w:rPr>
                <w:noProof/>
                <w:webHidden/>
              </w:rPr>
              <w:tab/>
            </w:r>
            <w:r w:rsidR="0079443E">
              <w:rPr>
                <w:noProof/>
                <w:webHidden/>
              </w:rPr>
              <w:fldChar w:fldCharType="begin"/>
            </w:r>
            <w:r w:rsidR="0079443E">
              <w:rPr>
                <w:noProof/>
                <w:webHidden/>
              </w:rPr>
              <w:instrText xml:space="preserve"> PAGEREF _Toc117606387 \h </w:instrText>
            </w:r>
            <w:r w:rsidR="0079443E">
              <w:rPr>
                <w:noProof/>
                <w:webHidden/>
              </w:rPr>
            </w:r>
            <w:r w:rsidR="0079443E">
              <w:rPr>
                <w:noProof/>
                <w:webHidden/>
              </w:rPr>
              <w:fldChar w:fldCharType="separate"/>
            </w:r>
            <w:r w:rsidR="0086188B">
              <w:rPr>
                <w:noProof/>
                <w:webHidden/>
              </w:rPr>
              <w:t>12</w:t>
            </w:r>
            <w:r w:rsidR="0079443E">
              <w:rPr>
                <w:noProof/>
                <w:webHidden/>
              </w:rPr>
              <w:fldChar w:fldCharType="end"/>
            </w:r>
          </w:hyperlink>
        </w:p>
        <w:p w14:paraId="5CAE3628" w14:textId="360CDA37" w:rsidR="0079443E" w:rsidRDefault="00C664EE">
          <w:pPr>
            <w:pStyle w:val="TOC1"/>
            <w:rPr>
              <w:noProof/>
              <w:sz w:val="22"/>
              <w:szCs w:val="22"/>
            </w:rPr>
          </w:pPr>
          <w:hyperlink w:anchor="_Toc117606388" w:history="1">
            <w:r w:rsidR="0079443E" w:rsidRPr="00C618D6">
              <w:rPr>
                <w:rStyle w:val="Hyperlink"/>
                <w:rFonts w:cstheme="minorHAnsi"/>
                <w:noProof/>
              </w:rPr>
              <w:t>Anticipated Outcomes and Expenditure Plan</w:t>
            </w:r>
            <w:r w:rsidR="0079443E">
              <w:rPr>
                <w:noProof/>
                <w:webHidden/>
              </w:rPr>
              <w:tab/>
            </w:r>
            <w:r w:rsidR="0079443E">
              <w:rPr>
                <w:noProof/>
                <w:webHidden/>
              </w:rPr>
              <w:fldChar w:fldCharType="begin"/>
            </w:r>
            <w:r w:rsidR="0079443E">
              <w:rPr>
                <w:noProof/>
                <w:webHidden/>
              </w:rPr>
              <w:instrText xml:space="preserve"> PAGEREF _Toc117606388 \h </w:instrText>
            </w:r>
            <w:r w:rsidR="0079443E">
              <w:rPr>
                <w:noProof/>
                <w:webHidden/>
              </w:rPr>
            </w:r>
            <w:r w:rsidR="0079443E">
              <w:rPr>
                <w:noProof/>
                <w:webHidden/>
              </w:rPr>
              <w:fldChar w:fldCharType="separate"/>
            </w:r>
            <w:r w:rsidR="0086188B">
              <w:rPr>
                <w:noProof/>
                <w:webHidden/>
              </w:rPr>
              <w:t>12</w:t>
            </w:r>
            <w:r w:rsidR="0079443E">
              <w:rPr>
                <w:noProof/>
                <w:webHidden/>
              </w:rPr>
              <w:fldChar w:fldCharType="end"/>
            </w:r>
          </w:hyperlink>
        </w:p>
        <w:p w14:paraId="22609219" w14:textId="24C1E08D" w:rsidR="0079443E" w:rsidRDefault="00C664EE">
          <w:pPr>
            <w:pStyle w:val="TOC2"/>
            <w:rPr>
              <w:noProof/>
              <w:sz w:val="22"/>
              <w:szCs w:val="22"/>
            </w:rPr>
          </w:pPr>
          <w:hyperlink w:anchor="_Toc117606389" w:history="1">
            <w:r w:rsidR="0079443E" w:rsidRPr="00C618D6">
              <w:rPr>
                <w:rStyle w:val="Hyperlink"/>
                <w:rFonts w:cstheme="minorHAnsi"/>
                <w:noProof/>
              </w:rPr>
              <w:t>Anticipated Outcomes</w:t>
            </w:r>
            <w:r w:rsidR="0079443E">
              <w:rPr>
                <w:noProof/>
                <w:webHidden/>
              </w:rPr>
              <w:tab/>
            </w:r>
            <w:r w:rsidR="0079443E">
              <w:rPr>
                <w:noProof/>
                <w:webHidden/>
              </w:rPr>
              <w:fldChar w:fldCharType="begin"/>
            </w:r>
            <w:r w:rsidR="0079443E">
              <w:rPr>
                <w:noProof/>
                <w:webHidden/>
              </w:rPr>
              <w:instrText xml:space="preserve"> PAGEREF _Toc117606389 \h </w:instrText>
            </w:r>
            <w:r w:rsidR="0079443E">
              <w:rPr>
                <w:noProof/>
                <w:webHidden/>
              </w:rPr>
            </w:r>
            <w:r w:rsidR="0079443E">
              <w:rPr>
                <w:noProof/>
                <w:webHidden/>
              </w:rPr>
              <w:fldChar w:fldCharType="separate"/>
            </w:r>
            <w:r w:rsidR="0086188B">
              <w:rPr>
                <w:noProof/>
                <w:webHidden/>
              </w:rPr>
              <w:t>12</w:t>
            </w:r>
            <w:r w:rsidR="0079443E">
              <w:rPr>
                <w:noProof/>
                <w:webHidden/>
              </w:rPr>
              <w:fldChar w:fldCharType="end"/>
            </w:r>
          </w:hyperlink>
        </w:p>
        <w:p w14:paraId="6DD17C55" w14:textId="1DF22121" w:rsidR="0079443E" w:rsidRDefault="00C664EE">
          <w:pPr>
            <w:pStyle w:val="TOC2"/>
            <w:rPr>
              <w:noProof/>
              <w:sz w:val="22"/>
              <w:szCs w:val="22"/>
            </w:rPr>
          </w:pPr>
          <w:hyperlink w:anchor="_Toc117606390" w:history="1">
            <w:r w:rsidR="0079443E" w:rsidRPr="00C618D6">
              <w:rPr>
                <w:rStyle w:val="Hyperlink"/>
                <w:rFonts w:cstheme="minorHAnsi"/>
                <w:noProof/>
              </w:rPr>
              <w:t>Expenditure Plan</w:t>
            </w:r>
            <w:r w:rsidR="0079443E">
              <w:rPr>
                <w:noProof/>
                <w:webHidden/>
              </w:rPr>
              <w:tab/>
            </w:r>
            <w:r w:rsidR="0079443E">
              <w:rPr>
                <w:noProof/>
                <w:webHidden/>
              </w:rPr>
              <w:fldChar w:fldCharType="begin"/>
            </w:r>
            <w:r w:rsidR="0079443E">
              <w:rPr>
                <w:noProof/>
                <w:webHidden/>
              </w:rPr>
              <w:instrText xml:space="preserve"> PAGEREF _Toc117606390 \h </w:instrText>
            </w:r>
            <w:r w:rsidR="0079443E">
              <w:rPr>
                <w:noProof/>
                <w:webHidden/>
              </w:rPr>
            </w:r>
            <w:r w:rsidR="0079443E">
              <w:rPr>
                <w:noProof/>
                <w:webHidden/>
              </w:rPr>
              <w:fldChar w:fldCharType="separate"/>
            </w:r>
            <w:r w:rsidR="0086188B">
              <w:rPr>
                <w:noProof/>
                <w:webHidden/>
              </w:rPr>
              <w:t>12</w:t>
            </w:r>
            <w:r w:rsidR="0079443E">
              <w:rPr>
                <w:noProof/>
                <w:webHidden/>
              </w:rPr>
              <w:fldChar w:fldCharType="end"/>
            </w:r>
          </w:hyperlink>
        </w:p>
        <w:p w14:paraId="189BAC03" w14:textId="742AF924" w:rsidR="0079443E" w:rsidRDefault="00C664EE">
          <w:pPr>
            <w:pStyle w:val="TOC1"/>
            <w:rPr>
              <w:noProof/>
              <w:sz w:val="22"/>
              <w:szCs w:val="22"/>
            </w:rPr>
          </w:pPr>
          <w:hyperlink w:anchor="_Toc117606391" w:history="1">
            <w:r w:rsidR="0079443E" w:rsidRPr="00C618D6">
              <w:rPr>
                <w:rStyle w:val="Hyperlink"/>
                <w:rFonts w:cstheme="minorHAnsi"/>
                <w:noProof/>
              </w:rPr>
              <w:t>Citizen Participation Summary</w:t>
            </w:r>
            <w:r w:rsidR="0079443E">
              <w:rPr>
                <w:noProof/>
                <w:webHidden/>
              </w:rPr>
              <w:tab/>
            </w:r>
            <w:r w:rsidR="0079443E">
              <w:rPr>
                <w:noProof/>
                <w:webHidden/>
              </w:rPr>
              <w:fldChar w:fldCharType="begin"/>
            </w:r>
            <w:r w:rsidR="0079443E">
              <w:rPr>
                <w:noProof/>
                <w:webHidden/>
              </w:rPr>
              <w:instrText xml:space="preserve"> PAGEREF _Toc117606391 \h </w:instrText>
            </w:r>
            <w:r w:rsidR="0079443E">
              <w:rPr>
                <w:noProof/>
                <w:webHidden/>
              </w:rPr>
            </w:r>
            <w:r w:rsidR="0079443E">
              <w:rPr>
                <w:noProof/>
                <w:webHidden/>
              </w:rPr>
              <w:fldChar w:fldCharType="separate"/>
            </w:r>
            <w:r w:rsidR="0086188B">
              <w:rPr>
                <w:noProof/>
                <w:webHidden/>
              </w:rPr>
              <w:t>12</w:t>
            </w:r>
            <w:r w:rsidR="0079443E">
              <w:rPr>
                <w:noProof/>
                <w:webHidden/>
              </w:rPr>
              <w:fldChar w:fldCharType="end"/>
            </w:r>
          </w:hyperlink>
        </w:p>
        <w:p w14:paraId="2722AE8E" w14:textId="5FBBEBE8" w:rsidR="0079443E" w:rsidRDefault="00C664EE">
          <w:pPr>
            <w:pStyle w:val="TOC1"/>
            <w:rPr>
              <w:noProof/>
              <w:sz w:val="22"/>
              <w:szCs w:val="22"/>
            </w:rPr>
          </w:pPr>
          <w:hyperlink w:anchor="_Toc117606392" w:history="1">
            <w:r w:rsidR="0079443E" w:rsidRPr="00C618D6">
              <w:rPr>
                <w:rStyle w:val="Hyperlink"/>
                <w:rFonts w:cstheme="minorHAnsi"/>
                <w:noProof/>
              </w:rPr>
              <w:t>Partner Coordination</w:t>
            </w:r>
            <w:r w:rsidR="0079443E">
              <w:rPr>
                <w:noProof/>
                <w:webHidden/>
              </w:rPr>
              <w:tab/>
            </w:r>
            <w:r w:rsidR="0079443E">
              <w:rPr>
                <w:noProof/>
                <w:webHidden/>
              </w:rPr>
              <w:fldChar w:fldCharType="begin"/>
            </w:r>
            <w:r w:rsidR="0079443E">
              <w:rPr>
                <w:noProof/>
                <w:webHidden/>
              </w:rPr>
              <w:instrText xml:space="preserve"> PAGEREF _Toc117606392 \h </w:instrText>
            </w:r>
            <w:r w:rsidR="0079443E">
              <w:rPr>
                <w:noProof/>
                <w:webHidden/>
              </w:rPr>
            </w:r>
            <w:r w:rsidR="0079443E">
              <w:rPr>
                <w:noProof/>
                <w:webHidden/>
              </w:rPr>
              <w:fldChar w:fldCharType="separate"/>
            </w:r>
            <w:r w:rsidR="0086188B">
              <w:rPr>
                <w:noProof/>
                <w:webHidden/>
              </w:rPr>
              <w:t>13</w:t>
            </w:r>
            <w:r w:rsidR="0079443E">
              <w:rPr>
                <w:noProof/>
                <w:webHidden/>
              </w:rPr>
              <w:fldChar w:fldCharType="end"/>
            </w:r>
          </w:hyperlink>
        </w:p>
        <w:p w14:paraId="788F51A7" w14:textId="496379DB" w:rsidR="0079443E" w:rsidRDefault="00C664EE">
          <w:pPr>
            <w:pStyle w:val="TOC1"/>
            <w:rPr>
              <w:noProof/>
              <w:sz w:val="22"/>
              <w:szCs w:val="22"/>
            </w:rPr>
          </w:pPr>
          <w:hyperlink w:anchor="_Toc117606393" w:history="1">
            <w:r w:rsidR="0079443E" w:rsidRPr="00C618D6">
              <w:rPr>
                <w:rStyle w:val="Hyperlink"/>
                <w:rFonts w:cstheme="minorHAnsi"/>
                <w:noProof/>
              </w:rPr>
              <w:t>Service Provider Management and Monitoring</w:t>
            </w:r>
            <w:r w:rsidR="0079443E">
              <w:rPr>
                <w:noProof/>
                <w:webHidden/>
              </w:rPr>
              <w:tab/>
            </w:r>
            <w:r w:rsidR="0079443E">
              <w:rPr>
                <w:noProof/>
                <w:webHidden/>
              </w:rPr>
              <w:fldChar w:fldCharType="begin"/>
            </w:r>
            <w:r w:rsidR="0079443E">
              <w:rPr>
                <w:noProof/>
                <w:webHidden/>
              </w:rPr>
              <w:instrText xml:space="preserve"> PAGEREF _Toc117606393 \h </w:instrText>
            </w:r>
            <w:r w:rsidR="0079443E">
              <w:rPr>
                <w:noProof/>
                <w:webHidden/>
              </w:rPr>
            </w:r>
            <w:r w:rsidR="0079443E">
              <w:rPr>
                <w:noProof/>
                <w:webHidden/>
              </w:rPr>
              <w:fldChar w:fldCharType="separate"/>
            </w:r>
            <w:r w:rsidR="0086188B">
              <w:rPr>
                <w:noProof/>
                <w:webHidden/>
              </w:rPr>
              <w:t>15</w:t>
            </w:r>
            <w:r w:rsidR="0079443E">
              <w:rPr>
                <w:noProof/>
                <w:webHidden/>
              </w:rPr>
              <w:fldChar w:fldCharType="end"/>
            </w:r>
          </w:hyperlink>
        </w:p>
        <w:p w14:paraId="2D3C6C3B" w14:textId="182B1EBD" w:rsidR="0079443E" w:rsidRDefault="00C664EE">
          <w:pPr>
            <w:pStyle w:val="TOC1"/>
            <w:rPr>
              <w:noProof/>
              <w:sz w:val="22"/>
              <w:szCs w:val="22"/>
            </w:rPr>
          </w:pPr>
          <w:hyperlink w:anchor="_Toc117606394" w:history="1">
            <w:r w:rsidR="0079443E" w:rsidRPr="00C618D6">
              <w:rPr>
                <w:rStyle w:val="Hyperlink"/>
                <w:rFonts w:cstheme="minorHAnsi"/>
                <w:noProof/>
              </w:rPr>
              <w:t>Pre-Award/Pre-Agreement Costs</w:t>
            </w:r>
            <w:r w:rsidR="0079443E">
              <w:rPr>
                <w:noProof/>
                <w:webHidden/>
              </w:rPr>
              <w:tab/>
            </w:r>
            <w:r w:rsidR="0079443E">
              <w:rPr>
                <w:noProof/>
                <w:webHidden/>
              </w:rPr>
              <w:fldChar w:fldCharType="begin"/>
            </w:r>
            <w:r w:rsidR="0079443E">
              <w:rPr>
                <w:noProof/>
                <w:webHidden/>
              </w:rPr>
              <w:instrText xml:space="preserve"> PAGEREF _Toc117606394 \h </w:instrText>
            </w:r>
            <w:r w:rsidR="0079443E">
              <w:rPr>
                <w:noProof/>
                <w:webHidden/>
              </w:rPr>
            </w:r>
            <w:r w:rsidR="0079443E">
              <w:rPr>
                <w:noProof/>
                <w:webHidden/>
              </w:rPr>
              <w:fldChar w:fldCharType="separate"/>
            </w:r>
            <w:r w:rsidR="0086188B">
              <w:rPr>
                <w:noProof/>
                <w:webHidden/>
              </w:rPr>
              <w:t>15</w:t>
            </w:r>
            <w:r w:rsidR="0079443E">
              <w:rPr>
                <w:noProof/>
                <w:webHidden/>
              </w:rPr>
              <w:fldChar w:fldCharType="end"/>
            </w:r>
          </w:hyperlink>
        </w:p>
        <w:p w14:paraId="0210D0F4" w14:textId="42B2574F" w:rsidR="0079443E" w:rsidRDefault="00C664EE">
          <w:pPr>
            <w:pStyle w:val="TOC1"/>
            <w:rPr>
              <w:noProof/>
              <w:sz w:val="22"/>
              <w:szCs w:val="22"/>
            </w:rPr>
          </w:pPr>
          <w:hyperlink w:anchor="_Toc117606395" w:history="1">
            <w:r w:rsidR="0079443E" w:rsidRPr="00C618D6">
              <w:rPr>
                <w:rStyle w:val="Hyperlink"/>
                <w:rFonts w:cstheme="minorHAnsi"/>
                <w:noProof/>
              </w:rPr>
              <w:t>Certifications</w:t>
            </w:r>
            <w:r w:rsidR="0079443E">
              <w:rPr>
                <w:noProof/>
                <w:webHidden/>
              </w:rPr>
              <w:tab/>
            </w:r>
            <w:r w:rsidR="0079443E">
              <w:rPr>
                <w:noProof/>
                <w:webHidden/>
              </w:rPr>
              <w:fldChar w:fldCharType="begin"/>
            </w:r>
            <w:r w:rsidR="0079443E">
              <w:rPr>
                <w:noProof/>
                <w:webHidden/>
              </w:rPr>
              <w:instrText xml:space="preserve"> PAGEREF _Toc117606395 \h </w:instrText>
            </w:r>
            <w:r w:rsidR="0079443E">
              <w:rPr>
                <w:noProof/>
                <w:webHidden/>
              </w:rPr>
            </w:r>
            <w:r w:rsidR="0079443E">
              <w:rPr>
                <w:noProof/>
                <w:webHidden/>
              </w:rPr>
              <w:fldChar w:fldCharType="separate"/>
            </w:r>
            <w:r w:rsidR="0086188B">
              <w:rPr>
                <w:noProof/>
                <w:webHidden/>
              </w:rPr>
              <w:t>15</w:t>
            </w:r>
            <w:r w:rsidR="0079443E">
              <w:rPr>
                <w:noProof/>
                <w:webHidden/>
              </w:rPr>
              <w:fldChar w:fldCharType="end"/>
            </w:r>
          </w:hyperlink>
        </w:p>
        <w:p w14:paraId="65C9CF88" w14:textId="5A2CD8FC" w:rsidR="00005D6B" w:rsidRPr="00A77D94" w:rsidRDefault="004D0348">
          <w:pPr>
            <w:rPr>
              <w:rFonts w:cstheme="minorHAnsi"/>
              <w:sz w:val="22"/>
              <w:szCs w:val="22"/>
            </w:rPr>
          </w:pPr>
          <w:r w:rsidRPr="00A77D94">
            <w:rPr>
              <w:rFonts w:cstheme="minorHAnsi"/>
              <w:sz w:val="22"/>
              <w:szCs w:val="22"/>
            </w:rPr>
            <w:fldChar w:fldCharType="end"/>
          </w:r>
        </w:p>
      </w:sdtContent>
    </w:sdt>
    <w:p w14:paraId="0C6C53F5" w14:textId="77777777" w:rsidR="00005D6B" w:rsidRPr="00340EE8" w:rsidRDefault="00005D6B" w:rsidP="00643644">
      <w:pPr>
        <w:pStyle w:val="Title"/>
        <w:jc w:val="center"/>
        <w:rPr>
          <w:rFonts w:asciiTheme="minorHAnsi" w:hAnsiTheme="minorHAnsi" w:cstheme="minorHAnsi"/>
        </w:rPr>
      </w:pPr>
    </w:p>
    <w:p w14:paraId="491AAEBE" w14:textId="2CB49FAF" w:rsidR="00005D6B" w:rsidRDefault="00005D6B" w:rsidP="00340EE8">
      <w:pPr>
        <w:pStyle w:val="Title"/>
        <w:rPr>
          <w:rFonts w:asciiTheme="minorHAnsi" w:hAnsiTheme="minorHAnsi" w:cstheme="minorHAnsi"/>
        </w:rPr>
      </w:pPr>
    </w:p>
    <w:p w14:paraId="250E4055" w14:textId="68E594C8" w:rsidR="006D306C" w:rsidRPr="00340EE8" w:rsidRDefault="00343210" w:rsidP="00643644">
      <w:pPr>
        <w:pStyle w:val="Title"/>
        <w:jc w:val="center"/>
        <w:rPr>
          <w:rFonts w:asciiTheme="minorHAnsi" w:hAnsiTheme="minorHAnsi" w:cstheme="minorHAnsi"/>
        </w:rPr>
      </w:pPr>
      <w:r w:rsidRPr="00340EE8">
        <w:rPr>
          <w:rFonts w:asciiTheme="minorHAnsi" w:hAnsiTheme="minorHAnsi" w:cstheme="minorHAnsi"/>
        </w:rPr>
        <w:lastRenderedPageBreak/>
        <w:t xml:space="preserve">RHP FY2022 </w:t>
      </w:r>
      <w:r w:rsidR="006D306C" w:rsidRPr="00340EE8">
        <w:rPr>
          <w:rFonts w:asciiTheme="minorHAnsi" w:hAnsiTheme="minorHAnsi" w:cstheme="minorHAnsi"/>
        </w:rPr>
        <w:t>ACTION PLAN</w:t>
      </w:r>
    </w:p>
    <w:p w14:paraId="72FC9E0B" w14:textId="77777777" w:rsidR="0065799E" w:rsidRPr="00340EE8" w:rsidRDefault="0065799E" w:rsidP="00223BFE">
      <w:pPr>
        <w:spacing w:after="0" w:line="240" w:lineRule="auto"/>
        <w:rPr>
          <w:rFonts w:cstheme="minorHAnsi"/>
        </w:rPr>
      </w:pPr>
      <w:r w:rsidRPr="00340EE8">
        <w:rPr>
          <w:rFonts w:cstheme="minorHAnsi"/>
        </w:rPr>
        <w:t>Grantee: New Mexico</w:t>
      </w:r>
    </w:p>
    <w:p w14:paraId="0BD89BFA" w14:textId="77777777" w:rsidR="0065799E" w:rsidRPr="00340EE8" w:rsidRDefault="0065799E" w:rsidP="00223BFE">
      <w:pPr>
        <w:spacing w:after="0" w:line="240" w:lineRule="auto"/>
        <w:rPr>
          <w:rFonts w:cstheme="minorHAnsi"/>
        </w:rPr>
      </w:pPr>
      <w:r w:rsidRPr="00340EE8">
        <w:rPr>
          <w:rFonts w:cstheme="minorHAnsi"/>
        </w:rPr>
        <w:t>RHP Grant:</w:t>
      </w:r>
      <w:r w:rsidRPr="00340EE8">
        <w:rPr>
          <w:rFonts w:cstheme="minorHAnsi"/>
        </w:rPr>
        <w:tab/>
        <w:t xml:space="preserve">B-20-RH-35-0001 </w:t>
      </w:r>
    </w:p>
    <w:p w14:paraId="60480335" w14:textId="49509E54" w:rsidR="0065799E" w:rsidRPr="00340EE8" w:rsidRDefault="0065799E" w:rsidP="00223BFE">
      <w:pPr>
        <w:spacing w:after="0" w:line="240" w:lineRule="auto"/>
        <w:rPr>
          <w:rFonts w:cstheme="minorHAnsi"/>
        </w:rPr>
      </w:pPr>
      <w:r w:rsidRPr="00340EE8">
        <w:rPr>
          <w:rFonts w:cstheme="minorHAnsi"/>
        </w:rPr>
        <w:t>RHP Grant:</w:t>
      </w:r>
      <w:r w:rsidRPr="00340EE8">
        <w:rPr>
          <w:rFonts w:cstheme="minorHAnsi"/>
        </w:rPr>
        <w:tab/>
        <w:t>B-21-RH-35-0001</w:t>
      </w:r>
    </w:p>
    <w:p w14:paraId="37136E16" w14:textId="08C82AA3" w:rsidR="00223BFE" w:rsidRPr="00340EE8" w:rsidRDefault="0065799E" w:rsidP="00223BFE">
      <w:pPr>
        <w:spacing w:after="0" w:line="240" w:lineRule="auto"/>
        <w:rPr>
          <w:rFonts w:cstheme="minorHAnsi"/>
        </w:rPr>
      </w:pPr>
      <w:r w:rsidRPr="00340EE8">
        <w:rPr>
          <w:rFonts w:cstheme="minorHAnsi"/>
        </w:rPr>
        <w:t>RHP Grant:</w:t>
      </w:r>
      <w:r w:rsidRPr="00340EE8">
        <w:rPr>
          <w:rFonts w:cstheme="minorHAnsi"/>
        </w:rPr>
        <w:tab/>
        <w:t>B-22-RH-35-0001</w:t>
      </w:r>
    </w:p>
    <w:p w14:paraId="45AFE1CB" w14:textId="1A747884" w:rsidR="0065799E" w:rsidRPr="00340EE8" w:rsidRDefault="009A4EF2" w:rsidP="00223BFE">
      <w:pPr>
        <w:spacing w:after="0" w:line="240" w:lineRule="auto"/>
        <w:rPr>
          <w:rFonts w:cstheme="minorHAnsi"/>
        </w:rPr>
      </w:pPr>
      <w:r w:rsidRPr="00340EE8">
        <w:rPr>
          <w:rFonts w:cstheme="minorHAnsi"/>
          <w:noProof/>
        </w:rPr>
        <mc:AlternateContent>
          <mc:Choice Requires="wps">
            <w:drawing>
              <wp:anchor distT="4294967295" distB="4294967295" distL="114300" distR="114300" simplePos="0" relativeHeight="251659264" behindDoc="0" locked="0" layoutInCell="1" allowOverlap="1" wp14:anchorId="23B55C19" wp14:editId="752B554E">
                <wp:simplePos x="0" y="0"/>
                <wp:positionH relativeFrom="column">
                  <wp:posOffset>-23495</wp:posOffset>
                </wp:positionH>
                <wp:positionV relativeFrom="paragraph">
                  <wp:posOffset>158749</wp:posOffset>
                </wp:positionV>
                <wp:extent cx="599503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95035" cy="0"/>
                        </a:xfrm>
                        <a:prstGeom prst="line">
                          <a:avLst/>
                        </a:prstGeom>
                        <a:ln w="19050">
                          <a:solidFill>
                            <a:srgbClr val="2E96B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D983CC6"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5pt,12.5pt" to="470.2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" strokecolor="#2e96b6" strokeweight="1.5pt">
                <v:stroke joinstyle="miter"/>
                <o:lock v:ext="edit" shapetype="f"/>
              </v:line>
            </w:pict>
          </mc:Fallback>
        </mc:AlternateContent>
      </w:r>
      <w:r w:rsidR="0065799E" w:rsidRPr="00340EE8">
        <w:rPr>
          <w:rFonts w:cstheme="minorHAnsi"/>
        </w:rPr>
        <w:t xml:space="preserve"> </w:t>
      </w:r>
    </w:p>
    <w:p w14:paraId="077604E9" w14:textId="11AD4667" w:rsidR="0065799E" w:rsidRPr="00340EE8" w:rsidRDefault="0065799E" w:rsidP="00223BFE">
      <w:pPr>
        <w:spacing w:after="0" w:line="240" w:lineRule="auto"/>
        <w:rPr>
          <w:rFonts w:cstheme="minorHAnsi"/>
          <w:b/>
          <w:bCs/>
        </w:rPr>
      </w:pPr>
      <w:r w:rsidRPr="00340EE8">
        <w:rPr>
          <w:rFonts w:cstheme="minorHAnsi"/>
          <w:b/>
          <w:bCs/>
        </w:rPr>
        <w:t>LOCCS Authorized Amount:</w:t>
      </w:r>
      <w:r w:rsidRPr="00340EE8">
        <w:rPr>
          <w:rFonts w:cstheme="minorHAnsi"/>
          <w:b/>
          <w:bCs/>
        </w:rPr>
        <w:tab/>
      </w:r>
      <w:r w:rsidRPr="00340EE8">
        <w:rPr>
          <w:rFonts w:cstheme="minorHAnsi"/>
          <w:b/>
          <w:bCs/>
        </w:rPr>
        <w:tab/>
        <w:t>$0.00</w:t>
      </w:r>
    </w:p>
    <w:p w14:paraId="0F92D80A" w14:textId="652E2E33" w:rsidR="00D92D73" w:rsidRPr="00340EE8" w:rsidRDefault="0065799E" w:rsidP="00223BFE">
      <w:pPr>
        <w:spacing w:after="0" w:line="240" w:lineRule="auto"/>
        <w:rPr>
          <w:rFonts w:cstheme="minorHAnsi"/>
          <w:b/>
          <w:bCs/>
        </w:rPr>
      </w:pPr>
      <w:r w:rsidRPr="00340EE8">
        <w:rPr>
          <w:rFonts w:cstheme="minorHAnsi"/>
          <w:b/>
          <w:bCs/>
        </w:rPr>
        <w:t>Grant Award Amount:</w:t>
      </w:r>
      <w:r w:rsidRPr="00340EE8">
        <w:rPr>
          <w:rFonts w:cstheme="minorHAnsi"/>
          <w:b/>
          <w:bCs/>
        </w:rPr>
        <w:tab/>
      </w:r>
      <w:r w:rsidRPr="00340EE8">
        <w:rPr>
          <w:rFonts w:cstheme="minorHAnsi"/>
          <w:b/>
          <w:bCs/>
        </w:rPr>
        <w:tab/>
      </w:r>
      <w:r w:rsidRPr="00340EE8">
        <w:rPr>
          <w:rFonts w:cstheme="minorHAnsi"/>
          <w:b/>
          <w:bCs/>
        </w:rPr>
        <w:tab/>
        <w:t>FY2020 $940,000/FY2021 $902,621</w:t>
      </w:r>
      <w:r w:rsidR="00746C58" w:rsidRPr="00340EE8">
        <w:rPr>
          <w:rFonts w:cstheme="minorHAnsi"/>
          <w:b/>
          <w:bCs/>
        </w:rPr>
        <w:t>/FY2022 $1,013,918</w:t>
      </w:r>
      <w:r w:rsidRPr="00340EE8">
        <w:rPr>
          <w:rFonts w:cstheme="minorHAnsi"/>
          <w:b/>
          <w:bCs/>
        </w:rPr>
        <w:t xml:space="preserve"> </w:t>
      </w:r>
    </w:p>
    <w:p w14:paraId="55A72227" w14:textId="18499A02" w:rsidR="0065799E" w:rsidRPr="00340EE8" w:rsidRDefault="0065799E" w:rsidP="00223BFE">
      <w:pPr>
        <w:spacing w:after="0" w:line="240" w:lineRule="auto"/>
        <w:rPr>
          <w:rFonts w:cstheme="minorHAnsi"/>
          <w:b/>
          <w:bCs/>
        </w:rPr>
      </w:pPr>
      <w:r w:rsidRPr="00340EE8">
        <w:rPr>
          <w:rFonts w:cstheme="minorHAnsi"/>
          <w:b/>
          <w:bCs/>
        </w:rPr>
        <w:t>Status:</w:t>
      </w:r>
      <w:r w:rsidRPr="00340EE8">
        <w:rPr>
          <w:rFonts w:cstheme="minorHAnsi"/>
          <w:b/>
          <w:bCs/>
        </w:rPr>
        <w:tab/>
      </w:r>
      <w:r w:rsidR="00D92D73" w:rsidRPr="00340EE8">
        <w:rPr>
          <w:rFonts w:cstheme="minorHAnsi"/>
          <w:b/>
          <w:bCs/>
        </w:rPr>
        <w:tab/>
      </w:r>
      <w:r w:rsidR="00D92D73" w:rsidRPr="00340EE8">
        <w:rPr>
          <w:rFonts w:cstheme="minorHAnsi"/>
          <w:b/>
          <w:bCs/>
        </w:rPr>
        <w:tab/>
      </w:r>
      <w:r w:rsidR="00D92D73" w:rsidRPr="00340EE8">
        <w:rPr>
          <w:rFonts w:cstheme="minorHAnsi"/>
          <w:b/>
          <w:bCs/>
        </w:rPr>
        <w:tab/>
      </w:r>
      <w:r w:rsidR="00D92D73" w:rsidRPr="00340EE8">
        <w:rPr>
          <w:rFonts w:cstheme="minorHAnsi"/>
          <w:b/>
          <w:bCs/>
        </w:rPr>
        <w:tab/>
      </w:r>
      <w:r w:rsidRPr="00340EE8">
        <w:rPr>
          <w:rFonts w:cstheme="minorHAnsi"/>
          <w:b/>
          <w:bCs/>
        </w:rPr>
        <w:t>Original – In Progress</w:t>
      </w:r>
    </w:p>
    <w:p w14:paraId="07D62543" w14:textId="7FF9B532" w:rsidR="0065799E" w:rsidRPr="00340EE8" w:rsidRDefault="0065799E" w:rsidP="00223BFE">
      <w:pPr>
        <w:spacing w:after="0" w:line="240" w:lineRule="auto"/>
        <w:rPr>
          <w:rFonts w:cstheme="minorHAnsi"/>
          <w:b/>
          <w:bCs/>
        </w:rPr>
      </w:pPr>
      <w:r w:rsidRPr="00340EE8">
        <w:rPr>
          <w:rFonts w:cstheme="minorHAnsi"/>
          <w:b/>
          <w:bCs/>
        </w:rPr>
        <w:t>Estimated PI/RL Funds:</w:t>
      </w:r>
      <w:r w:rsidRPr="00340EE8">
        <w:rPr>
          <w:rFonts w:cstheme="minorHAnsi"/>
          <w:b/>
          <w:bCs/>
        </w:rPr>
        <w:tab/>
      </w:r>
      <w:r w:rsidRPr="00340EE8">
        <w:rPr>
          <w:rFonts w:cstheme="minorHAnsi"/>
          <w:b/>
          <w:bCs/>
        </w:rPr>
        <w:tab/>
      </w:r>
      <w:r w:rsidRPr="00340EE8">
        <w:rPr>
          <w:rFonts w:cstheme="minorHAnsi"/>
          <w:b/>
          <w:bCs/>
        </w:rPr>
        <w:tab/>
        <w:t>$0.00</w:t>
      </w:r>
    </w:p>
    <w:p w14:paraId="7D316053" w14:textId="5B7A1B36" w:rsidR="0065799E" w:rsidRPr="00340EE8" w:rsidRDefault="0065799E" w:rsidP="00223BFE">
      <w:pPr>
        <w:spacing w:after="0" w:line="240" w:lineRule="auto"/>
        <w:rPr>
          <w:rFonts w:cstheme="minorHAnsi"/>
          <w:b/>
          <w:bCs/>
        </w:rPr>
      </w:pPr>
      <w:r w:rsidRPr="00340EE8">
        <w:rPr>
          <w:rFonts w:cstheme="minorHAnsi"/>
          <w:b/>
          <w:bCs/>
        </w:rPr>
        <w:t>Total Budget:</w:t>
      </w:r>
      <w:r w:rsidRPr="00340EE8">
        <w:rPr>
          <w:rFonts w:cstheme="minorHAnsi"/>
          <w:b/>
          <w:bCs/>
        </w:rPr>
        <w:tab/>
      </w:r>
      <w:r w:rsidRPr="00340EE8">
        <w:rPr>
          <w:rFonts w:cstheme="minorHAnsi"/>
          <w:b/>
          <w:bCs/>
        </w:rPr>
        <w:tab/>
      </w:r>
      <w:r w:rsidRPr="00340EE8">
        <w:rPr>
          <w:rFonts w:cstheme="minorHAnsi"/>
          <w:b/>
          <w:bCs/>
        </w:rPr>
        <w:tab/>
      </w:r>
      <w:r w:rsidRPr="00340EE8">
        <w:rPr>
          <w:rFonts w:cstheme="minorHAnsi"/>
          <w:b/>
          <w:bCs/>
        </w:rPr>
        <w:tab/>
        <w:t>$</w:t>
      </w:r>
      <w:r w:rsidR="00471A05" w:rsidRPr="00340EE8">
        <w:rPr>
          <w:rFonts w:cstheme="minorHAnsi"/>
          <w:b/>
          <w:bCs/>
        </w:rPr>
        <w:t>2,856,539</w:t>
      </w:r>
    </w:p>
    <w:p w14:paraId="4A2890EC" w14:textId="62C7A712" w:rsidR="00223BFE" w:rsidRPr="00340EE8" w:rsidRDefault="009A4EF2" w:rsidP="00223BFE">
      <w:pPr>
        <w:spacing w:after="0" w:line="240" w:lineRule="auto"/>
        <w:rPr>
          <w:rFonts w:cstheme="minorHAnsi"/>
        </w:rPr>
      </w:pPr>
      <w:r w:rsidRPr="00340EE8">
        <w:rPr>
          <w:rFonts w:cstheme="minorHAnsi"/>
          <w:noProof/>
        </w:rPr>
        <mc:AlternateContent>
          <mc:Choice Requires="wps">
            <w:drawing>
              <wp:anchor distT="4294967295" distB="4294967295" distL="114300" distR="114300" simplePos="0" relativeHeight="251661312" behindDoc="0" locked="0" layoutInCell="1" allowOverlap="1" wp14:anchorId="5360A464" wp14:editId="3ACCEDB2">
                <wp:simplePos x="0" y="0"/>
                <wp:positionH relativeFrom="column">
                  <wp:posOffset>-22860</wp:posOffset>
                </wp:positionH>
                <wp:positionV relativeFrom="paragraph">
                  <wp:posOffset>131444</wp:posOffset>
                </wp:positionV>
                <wp:extent cx="599503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95035" cy="0"/>
                        </a:xfrm>
                        <a:prstGeom prst="line">
                          <a:avLst/>
                        </a:prstGeom>
                        <a:ln w="6350">
                          <a:solidFill>
                            <a:srgbClr val="2E96B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76B57E5" id="Straight Connector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pt,10.35pt" to="470.2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" strokecolor="#2e96b6" strokeweight=".5pt">
                <v:stroke joinstyle="miter"/>
                <o:lock v:ext="edit" shapetype="f"/>
              </v:line>
            </w:pict>
          </mc:Fallback>
        </mc:AlternateContent>
      </w:r>
    </w:p>
    <w:p w14:paraId="670E2D54" w14:textId="25EDD2F3" w:rsidR="00741D7C" w:rsidRPr="00340EE8" w:rsidRDefault="006D306C" w:rsidP="00741D7C">
      <w:pPr>
        <w:pStyle w:val="Heading1"/>
        <w:rPr>
          <w:rFonts w:cstheme="minorHAnsi"/>
        </w:rPr>
      </w:pPr>
      <w:bookmarkStart w:id="0" w:name="_Toc104210893"/>
      <w:bookmarkStart w:id="1" w:name="_Toc117606369"/>
      <w:r w:rsidRPr="00340EE8">
        <w:rPr>
          <w:rFonts w:cstheme="minorHAnsi"/>
        </w:rPr>
        <w:t>Standard Form 424 and 424D</w:t>
      </w:r>
      <w:bookmarkEnd w:id="0"/>
      <w:bookmarkEnd w:id="1"/>
    </w:p>
    <w:p w14:paraId="5049C654" w14:textId="77777777" w:rsidR="00741D7C" w:rsidRPr="00340EE8" w:rsidRDefault="00741D7C" w:rsidP="004B0A30">
      <w:pPr>
        <w:autoSpaceDE w:val="0"/>
        <w:autoSpaceDN w:val="0"/>
        <w:adjustRightInd w:val="0"/>
        <w:spacing w:before="0" w:after="0" w:line="240" w:lineRule="auto"/>
        <w:rPr>
          <w:rFonts w:cstheme="minorHAnsi"/>
        </w:rPr>
      </w:pPr>
    </w:p>
    <w:p w14:paraId="343ADBF7" w14:textId="29280F3E" w:rsidR="006D306C" w:rsidRPr="00340EE8" w:rsidRDefault="000F3854" w:rsidP="00FE1C38">
      <w:pPr>
        <w:autoSpaceDE w:val="0"/>
        <w:autoSpaceDN w:val="0"/>
        <w:adjustRightInd w:val="0"/>
        <w:spacing w:before="0" w:after="0" w:line="240" w:lineRule="auto"/>
        <w:jc w:val="both"/>
        <w:rPr>
          <w:rFonts w:cstheme="minorHAnsi"/>
          <w:sz w:val="22"/>
          <w:szCs w:val="22"/>
        </w:rPr>
      </w:pPr>
      <w:r w:rsidRPr="00340EE8">
        <w:rPr>
          <w:rFonts w:cstheme="minorHAnsi"/>
          <w:sz w:val="22"/>
          <w:szCs w:val="22"/>
        </w:rPr>
        <w:t>MFA submits this Action Plan to HUD along with completed and executed Federal</w:t>
      </w:r>
      <w:r w:rsidR="004B0A30" w:rsidRPr="00340EE8">
        <w:rPr>
          <w:rFonts w:cstheme="minorHAnsi"/>
          <w:sz w:val="22"/>
          <w:szCs w:val="22"/>
        </w:rPr>
        <w:t xml:space="preserve"> </w:t>
      </w:r>
      <w:r w:rsidRPr="00340EE8">
        <w:rPr>
          <w:rFonts w:cstheme="minorHAnsi"/>
          <w:sz w:val="22"/>
          <w:szCs w:val="22"/>
        </w:rPr>
        <w:t>Forms SF-424 and SF-424D</w:t>
      </w:r>
      <w:r w:rsidR="000B0296">
        <w:rPr>
          <w:rFonts w:cstheme="minorHAnsi"/>
          <w:sz w:val="22"/>
          <w:szCs w:val="22"/>
        </w:rPr>
        <w:t xml:space="preserve"> and RHP </w:t>
      </w:r>
      <w:r w:rsidR="0086188B">
        <w:rPr>
          <w:rFonts w:cstheme="minorHAnsi"/>
          <w:sz w:val="22"/>
          <w:szCs w:val="22"/>
        </w:rPr>
        <w:t>Certifications</w:t>
      </w:r>
      <w:r w:rsidR="000B0296">
        <w:rPr>
          <w:rFonts w:cstheme="minorHAnsi"/>
          <w:sz w:val="22"/>
          <w:szCs w:val="22"/>
        </w:rPr>
        <w:t>.</w:t>
      </w:r>
    </w:p>
    <w:p w14:paraId="74C4FE38" w14:textId="77777777" w:rsidR="00741D7C" w:rsidRPr="00340EE8" w:rsidRDefault="00741D7C" w:rsidP="0079443E">
      <w:pPr>
        <w:autoSpaceDE w:val="0"/>
        <w:autoSpaceDN w:val="0"/>
        <w:adjustRightInd w:val="0"/>
        <w:spacing w:before="0" w:after="0" w:line="240" w:lineRule="auto"/>
        <w:jc w:val="both"/>
        <w:rPr>
          <w:rFonts w:cstheme="minorHAnsi"/>
          <w:sz w:val="22"/>
          <w:szCs w:val="22"/>
        </w:rPr>
      </w:pPr>
    </w:p>
    <w:p w14:paraId="1F0D9E58" w14:textId="78CC3E80" w:rsidR="006D306C" w:rsidRPr="00340EE8" w:rsidRDefault="006D306C" w:rsidP="0079443E">
      <w:pPr>
        <w:pStyle w:val="Heading1"/>
        <w:jc w:val="both"/>
        <w:rPr>
          <w:rFonts w:cstheme="minorHAnsi"/>
        </w:rPr>
      </w:pPr>
      <w:bookmarkStart w:id="2" w:name="_Toc104210894"/>
      <w:bookmarkStart w:id="3" w:name="_Toc117606370"/>
      <w:r w:rsidRPr="00340EE8">
        <w:rPr>
          <w:rFonts w:cstheme="minorHAnsi"/>
        </w:rPr>
        <w:t>Program Summary</w:t>
      </w:r>
      <w:bookmarkEnd w:id="2"/>
      <w:bookmarkEnd w:id="3"/>
    </w:p>
    <w:p w14:paraId="1CA56B0E" w14:textId="67592E43" w:rsidR="006D306C" w:rsidRPr="00340EE8" w:rsidRDefault="006D306C" w:rsidP="00FE1C38">
      <w:pPr>
        <w:jc w:val="both"/>
        <w:rPr>
          <w:rFonts w:cstheme="minorHAnsi"/>
          <w:sz w:val="22"/>
          <w:szCs w:val="22"/>
        </w:rPr>
      </w:pPr>
      <w:r w:rsidRPr="00340EE8">
        <w:rPr>
          <w:rFonts w:cstheme="minorHAnsi"/>
          <w:sz w:val="22"/>
          <w:szCs w:val="22"/>
        </w:rPr>
        <w:t>The Federal Register Notice No. FR-6225-N-01 and updated Program Notice FR-6265-N-01 as authorized under Section 8071 of the SUPPORT for Patients and Communities Act, entitled Pilot Program to Help Individuals in Recovery from a Substance Use Disorder (SUD) become stably housed, herein referred to as the</w:t>
      </w:r>
      <w:r w:rsidR="00212370" w:rsidRPr="00340EE8">
        <w:rPr>
          <w:rFonts w:cstheme="minorHAnsi"/>
          <w:sz w:val="22"/>
          <w:szCs w:val="22"/>
        </w:rPr>
        <w:t xml:space="preserve"> </w:t>
      </w:r>
      <w:r w:rsidRPr="00340EE8">
        <w:rPr>
          <w:rFonts w:cstheme="minorHAnsi"/>
          <w:sz w:val="22"/>
          <w:szCs w:val="22"/>
        </w:rPr>
        <w:t>authorizes assistance to grantees (states) to provide stable, temporary housing to individuals in recovery from a substance use disorder.</w:t>
      </w:r>
    </w:p>
    <w:p w14:paraId="1108B083" w14:textId="77777777" w:rsidR="006D306C" w:rsidRPr="00340EE8" w:rsidRDefault="006D306C" w:rsidP="00FE1C38">
      <w:pPr>
        <w:jc w:val="both"/>
        <w:rPr>
          <w:rFonts w:cstheme="minorHAnsi"/>
          <w:sz w:val="22"/>
          <w:szCs w:val="22"/>
        </w:rPr>
      </w:pPr>
      <w:r w:rsidRPr="00340EE8">
        <w:rPr>
          <w:rFonts w:cstheme="minorHAnsi"/>
          <w:sz w:val="22"/>
          <w:szCs w:val="22"/>
        </w:rPr>
        <w:t>The Department of Finance and Administration – Local Government Division (DFA-LGD) is providing authorization to the New Mexico Mortgage Finance Authority (MFA) to serve as administrator of New Mexico’s RHP to include development of the RHP action plan and implementation of activities described in the plan.</w:t>
      </w:r>
    </w:p>
    <w:p w14:paraId="15683C74" w14:textId="38B28D68" w:rsidR="006D306C" w:rsidRPr="00340EE8" w:rsidRDefault="006D306C" w:rsidP="00FE1C38">
      <w:pPr>
        <w:jc w:val="both"/>
        <w:rPr>
          <w:rFonts w:cstheme="minorHAnsi"/>
          <w:sz w:val="22"/>
          <w:szCs w:val="22"/>
        </w:rPr>
      </w:pPr>
      <w:r w:rsidRPr="00340EE8">
        <w:rPr>
          <w:rFonts w:cstheme="minorHAnsi"/>
          <w:sz w:val="22"/>
          <w:szCs w:val="22"/>
        </w:rPr>
        <w:t>MFA, as sub</w:t>
      </w:r>
      <w:r w:rsidR="00C85E3F" w:rsidRPr="00340EE8">
        <w:rPr>
          <w:rFonts w:cstheme="minorHAnsi"/>
          <w:sz w:val="22"/>
          <w:szCs w:val="22"/>
        </w:rPr>
        <w:t>grantee</w:t>
      </w:r>
      <w:r w:rsidRPr="00340EE8">
        <w:rPr>
          <w:rFonts w:cstheme="minorHAnsi"/>
          <w:sz w:val="22"/>
          <w:szCs w:val="22"/>
        </w:rPr>
        <w:t xml:space="preserve"> of the State of New Mexico's RHP allocations will guide the use of approximately $940,000 of the FY2020</w:t>
      </w:r>
      <w:r w:rsidR="002E2D0B" w:rsidRPr="00340EE8">
        <w:rPr>
          <w:rFonts w:cstheme="minorHAnsi"/>
          <w:sz w:val="22"/>
          <w:szCs w:val="22"/>
        </w:rPr>
        <w:t xml:space="preserve">, </w:t>
      </w:r>
      <w:r w:rsidRPr="00340EE8">
        <w:rPr>
          <w:rFonts w:cstheme="minorHAnsi"/>
          <w:sz w:val="22"/>
          <w:szCs w:val="22"/>
        </w:rPr>
        <w:t>$902,621 of the FY2021 RHP</w:t>
      </w:r>
      <w:r w:rsidR="002E2D0B" w:rsidRPr="00340EE8">
        <w:rPr>
          <w:rFonts w:cstheme="minorHAnsi"/>
          <w:sz w:val="22"/>
          <w:szCs w:val="22"/>
        </w:rPr>
        <w:t xml:space="preserve"> and $1,013,918 of the FY2022</w:t>
      </w:r>
      <w:r w:rsidRPr="00340EE8">
        <w:rPr>
          <w:rFonts w:cstheme="minorHAnsi"/>
          <w:sz w:val="22"/>
          <w:szCs w:val="22"/>
        </w:rPr>
        <w:t xml:space="preserve"> funding received by the State through the U.S. Department of Housing and Urban Development's Community Development Block Grant (CDBG) Program for the period July 1, 2021, through September 1, 2027.</w:t>
      </w:r>
    </w:p>
    <w:p w14:paraId="0CEB8EE8" w14:textId="105C0C5D" w:rsidR="006D306C" w:rsidRDefault="006D306C" w:rsidP="00FE1C38">
      <w:pPr>
        <w:jc w:val="both"/>
        <w:rPr>
          <w:rFonts w:cstheme="minorHAnsi"/>
          <w:sz w:val="22"/>
          <w:szCs w:val="22"/>
        </w:rPr>
      </w:pPr>
      <w:r w:rsidRPr="00340EE8">
        <w:rPr>
          <w:rFonts w:cstheme="minorHAnsi"/>
          <w:sz w:val="22"/>
          <w:szCs w:val="22"/>
        </w:rPr>
        <w:t>According to a New Mexico Substance Use Disorder Treatment Gap Analysis presented by the New Mexico</w:t>
      </w:r>
      <w:r w:rsidR="00212370" w:rsidRPr="00340EE8">
        <w:rPr>
          <w:rFonts w:cstheme="minorHAnsi"/>
          <w:sz w:val="22"/>
          <w:szCs w:val="22"/>
        </w:rPr>
        <w:t xml:space="preserve"> </w:t>
      </w:r>
      <w:r w:rsidRPr="00340EE8">
        <w:rPr>
          <w:rFonts w:cstheme="minorHAnsi"/>
          <w:sz w:val="22"/>
          <w:szCs w:val="22"/>
        </w:rPr>
        <w:t xml:space="preserve">Department of Health’s (NMDOH) </w:t>
      </w:r>
      <w:r w:rsidR="00741D7C" w:rsidRPr="00340EE8">
        <w:rPr>
          <w:rFonts w:cstheme="minorHAnsi"/>
          <w:sz w:val="22"/>
          <w:szCs w:val="22"/>
        </w:rPr>
        <w:t>s</w:t>
      </w:r>
      <w:r w:rsidRPr="00340EE8">
        <w:rPr>
          <w:rFonts w:cstheme="minorHAnsi"/>
          <w:sz w:val="22"/>
          <w:szCs w:val="22"/>
        </w:rPr>
        <w:t>ubstance use is a significant public health issue in New Mexico.</w:t>
      </w:r>
      <w:r w:rsidR="00212370" w:rsidRPr="00340EE8">
        <w:rPr>
          <w:rFonts w:cstheme="minorHAnsi"/>
          <w:sz w:val="22"/>
          <w:szCs w:val="22"/>
        </w:rPr>
        <w:t xml:space="preserve"> </w:t>
      </w:r>
      <w:r w:rsidRPr="00340EE8">
        <w:rPr>
          <w:rFonts w:cstheme="minorHAnsi"/>
          <w:sz w:val="22"/>
          <w:szCs w:val="22"/>
        </w:rPr>
        <w:t xml:space="preserve">New Mexico recognizes that treatment is necessary, but accessibility is insufficient for long-term recovery of low- and moderate-income and homeless individuals recovering from SUD, mental health conditions, and </w:t>
      </w:r>
      <w:r w:rsidRPr="00340EE8">
        <w:rPr>
          <w:rFonts w:cstheme="minorHAnsi"/>
          <w:sz w:val="22"/>
          <w:szCs w:val="22"/>
        </w:rPr>
        <w:lastRenderedPageBreak/>
        <w:t>criminal justice involvement. Housing stability is fundamental to recovery and a critical factor contributing to positive outcomes. Participants who know they will exit to stable housing are more likely to successfully complete treatment. We know that many who exit treatment will return to homelessness without long-term, affordable housing and comprehensive, evidence-based wrap-around case management services. It is reported that of those exiting treatment for a substance use disorder or mental health condition, only 50% of those in need of</w:t>
      </w:r>
      <w:r w:rsidR="00E72490" w:rsidRPr="00340EE8">
        <w:rPr>
          <w:rFonts w:cstheme="minorHAnsi"/>
          <w:sz w:val="22"/>
          <w:szCs w:val="22"/>
        </w:rPr>
        <w:t xml:space="preserve"> </w:t>
      </w:r>
      <w:r w:rsidRPr="00340EE8">
        <w:rPr>
          <w:rFonts w:cstheme="minorHAnsi"/>
          <w:sz w:val="22"/>
          <w:szCs w:val="22"/>
        </w:rPr>
        <w:t>housing received housing assistance according to the gap analysis. Data also shows that without stable housing, the risk of relapse and inability to maintain abstinence is greatly increased.</w:t>
      </w:r>
    </w:p>
    <w:p w14:paraId="365309AD" w14:textId="60E46C69" w:rsidR="00E53106" w:rsidRPr="0079443E" w:rsidRDefault="00E53106" w:rsidP="00FE1C38">
      <w:pPr>
        <w:jc w:val="both"/>
        <w:rPr>
          <w:rFonts w:cstheme="minorHAnsi"/>
          <w:sz w:val="22"/>
          <w:szCs w:val="22"/>
        </w:rPr>
      </w:pPr>
      <w:r w:rsidRPr="0079443E">
        <w:rPr>
          <w:rFonts w:cstheme="minorHAnsi"/>
          <w:sz w:val="22"/>
          <w:szCs w:val="22"/>
        </w:rPr>
        <w:t>MFA notified the public that RHP funding was available by posting a notice on the New Mexico DFA action plan website</w:t>
      </w:r>
      <w:r w:rsidR="00D46D36" w:rsidRPr="0079443E">
        <w:rPr>
          <w:rFonts w:cstheme="minorHAnsi"/>
          <w:sz w:val="22"/>
          <w:szCs w:val="22"/>
        </w:rPr>
        <w:t xml:space="preserve"> in July 2022,</w:t>
      </w:r>
      <w:r w:rsidRPr="0079443E">
        <w:rPr>
          <w:rFonts w:cstheme="minorHAnsi"/>
          <w:sz w:val="22"/>
          <w:szCs w:val="22"/>
        </w:rPr>
        <w:t xml:space="preserve"> A public notice was posted on </w:t>
      </w:r>
      <w:r w:rsidR="00D46D36" w:rsidRPr="0079443E">
        <w:rPr>
          <w:rFonts w:cstheme="minorHAnsi"/>
          <w:sz w:val="22"/>
          <w:szCs w:val="22"/>
        </w:rPr>
        <w:t xml:space="preserve">July 13, 2022, </w:t>
      </w:r>
      <w:r w:rsidRPr="0079443E">
        <w:rPr>
          <w:rFonts w:cstheme="minorHAnsi"/>
          <w:sz w:val="22"/>
          <w:szCs w:val="22"/>
        </w:rPr>
        <w:t xml:space="preserve">announcing New Mexico’s action plan for the FY2020, FY2021, and FY2022 allocation of RHP funding. The thirty-day public comment period occurred from </w:t>
      </w:r>
      <w:r w:rsidR="00D46D36" w:rsidRPr="0079443E">
        <w:rPr>
          <w:rFonts w:cstheme="minorHAnsi"/>
          <w:sz w:val="22"/>
          <w:szCs w:val="22"/>
        </w:rPr>
        <w:t xml:space="preserve">July 13, 2022, </w:t>
      </w:r>
      <w:r w:rsidRPr="0079443E">
        <w:rPr>
          <w:rFonts w:cstheme="minorHAnsi"/>
          <w:sz w:val="22"/>
          <w:szCs w:val="22"/>
        </w:rPr>
        <w:t xml:space="preserve">through </w:t>
      </w:r>
      <w:r w:rsidR="00D46D36" w:rsidRPr="0079443E">
        <w:rPr>
          <w:rFonts w:cstheme="minorHAnsi"/>
          <w:sz w:val="22"/>
          <w:szCs w:val="22"/>
        </w:rPr>
        <w:t xml:space="preserve">August 12, 2022.  </w:t>
      </w:r>
      <w:r w:rsidRPr="0079443E">
        <w:rPr>
          <w:rFonts w:cstheme="minorHAnsi"/>
          <w:sz w:val="22"/>
          <w:szCs w:val="22"/>
        </w:rPr>
        <w:t xml:space="preserve">The public hearing was held on </w:t>
      </w:r>
      <w:r w:rsidR="00D46D36" w:rsidRPr="0079443E">
        <w:rPr>
          <w:rFonts w:cstheme="minorHAnsi"/>
          <w:sz w:val="22"/>
          <w:szCs w:val="22"/>
        </w:rPr>
        <w:t xml:space="preserve">July 28, 2022.  </w:t>
      </w:r>
      <w:r w:rsidRPr="0079443E">
        <w:rPr>
          <w:rFonts w:cstheme="minorHAnsi"/>
          <w:sz w:val="22"/>
          <w:szCs w:val="22"/>
        </w:rPr>
        <w:t>There were no attendees from the public to provide comment at the hearing and there were no public comments received during the public comment period. The RHP action plan was presented to MFA’s board for approval on</w:t>
      </w:r>
      <w:r w:rsidR="00D46D36" w:rsidRPr="0079443E">
        <w:rPr>
          <w:rFonts w:cstheme="minorHAnsi"/>
          <w:sz w:val="22"/>
          <w:szCs w:val="22"/>
        </w:rPr>
        <w:t xml:space="preserve"> July 20, 2022.  </w:t>
      </w:r>
      <w:r w:rsidRPr="0079443E">
        <w:rPr>
          <w:rFonts w:cstheme="minorHAnsi"/>
          <w:sz w:val="22"/>
          <w:szCs w:val="22"/>
        </w:rPr>
        <w:t xml:space="preserve">The RHP Action Plan will be submitted through DRGR. The scheduled Notice of Funding Availability (NOFA) is scheduled to be released </w:t>
      </w:r>
      <w:r w:rsidR="00D46D36" w:rsidRPr="0079443E">
        <w:rPr>
          <w:rFonts w:cstheme="minorHAnsi"/>
          <w:sz w:val="22"/>
          <w:szCs w:val="22"/>
        </w:rPr>
        <w:t>upon review</w:t>
      </w:r>
      <w:r w:rsidRPr="0079443E">
        <w:rPr>
          <w:rFonts w:cstheme="minorHAnsi"/>
          <w:sz w:val="22"/>
          <w:szCs w:val="22"/>
        </w:rPr>
        <w:t xml:space="preserve"> of the FY2020/FY2021/FY2022 Action Plan by HUD.</w:t>
      </w:r>
    </w:p>
    <w:p w14:paraId="08FF78F1" w14:textId="51155AF6" w:rsidR="006D306C" w:rsidRPr="00340EE8" w:rsidRDefault="006D306C" w:rsidP="0079443E">
      <w:pPr>
        <w:pStyle w:val="Heading1"/>
        <w:jc w:val="both"/>
        <w:rPr>
          <w:rFonts w:cstheme="minorHAnsi"/>
          <w:sz w:val="22"/>
        </w:rPr>
      </w:pPr>
      <w:bookmarkStart w:id="4" w:name="_Toc104210895"/>
      <w:bookmarkStart w:id="5" w:name="_Toc117606371"/>
      <w:r w:rsidRPr="00340EE8">
        <w:rPr>
          <w:rFonts w:cstheme="minorHAnsi"/>
          <w:sz w:val="22"/>
        </w:rPr>
        <w:t>Resources</w:t>
      </w:r>
      <w:bookmarkEnd w:id="4"/>
      <w:bookmarkEnd w:id="5"/>
    </w:p>
    <w:tbl>
      <w:tblPr>
        <w:tblStyle w:val="PlainTable3"/>
        <w:tblpPr w:leftFromText="180" w:rightFromText="180" w:vertAnchor="page" w:horzAnchor="margin" w:tblpY="7351"/>
        <w:tblW w:w="8550" w:type="dxa"/>
        <w:tblLayout w:type="fixed"/>
        <w:tblLook w:val="01E0" w:firstRow="1" w:lastRow="1" w:firstColumn="1" w:lastColumn="1" w:noHBand="0" w:noVBand="0"/>
      </w:tblPr>
      <w:tblGrid>
        <w:gridCol w:w="2160"/>
        <w:gridCol w:w="1080"/>
        <w:gridCol w:w="1080"/>
        <w:gridCol w:w="1260"/>
        <w:gridCol w:w="1710"/>
        <w:gridCol w:w="1260"/>
      </w:tblGrid>
      <w:tr w:rsidR="0079443E" w:rsidRPr="00340EE8" w14:paraId="2A494F2B" w14:textId="77777777" w:rsidTr="0079443E">
        <w:trPr>
          <w:cnfStyle w:val="100000000000" w:firstRow="1" w:lastRow="0" w:firstColumn="0" w:lastColumn="0" w:oddVBand="0" w:evenVBand="0" w:oddHBand="0" w:evenHBand="0" w:firstRowFirstColumn="0" w:firstRowLastColumn="0" w:lastRowFirstColumn="0" w:lastRowLastColumn="0"/>
          <w:trHeight w:val="591"/>
        </w:trPr>
        <w:tc>
          <w:tcPr>
            <w:cnfStyle w:val="001000000100" w:firstRow="0" w:lastRow="0" w:firstColumn="1" w:lastColumn="0" w:oddVBand="0" w:evenVBand="0" w:oddHBand="0" w:evenHBand="0" w:firstRowFirstColumn="1" w:firstRowLastColumn="0" w:lastRowFirstColumn="0" w:lastRowLastColumn="0"/>
            <w:tcW w:w="2160" w:type="dxa"/>
            <w:vMerge w:val="restart"/>
            <w:tcBorders>
              <w:right w:val="single" w:sz="4" w:space="0" w:color="auto"/>
            </w:tcBorders>
            <w:vAlign w:val="center"/>
          </w:tcPr>
          <w:p w14:paraId="483825B7" w14:textId="77777777" w:rsidR="0079443E" w:rsidRPr="00340EE8" w:rsidRDefault="0079443E" w:rsidP="0079443E">
            <w:pPr>
              <w:spacing w:after="200" w:line="276" w:lineRule="auto"/>
              <w:jc w:val="both"/>
              <w:rPr>
                <w:rFonts w:cstheme="minorHAnsi"/>
                <w:b w:val="0"/>
                <w:bCs w:val="0"/>
                <w:i/>
                <w:iCs/>
                <w:sz w:val="22"/>
                <w:szCs w:val="22"/>
              </w:rPr>
            </w:pPr>
            <w:r w:rsidRPr="00340EE8">
              <w:rPr>
                <w:rFonts w:cstheme="minorHAnsi"/>
                <w:b w:val="0"/>
                <w:bCs w:val="0"/>
                <w:i/>
                <w:iCs/>
                <w:sz w:val="22"/>
                <w:szCs w:val="22"/>
              </w:rPr>
              <w:t>New Mexico RHP Allocation</w:t>
            </w:r>
          </w:p>
        </w:tc>
        <w:tc>
          <w:tcPr>
            <w:cnfStyle w:val="000010000000" w:firstRow="0" w:lastRow="0" w:firstColumn="0" w:lastColumn="0" w:oddVBand="1" w:evenVBand="0" w:oddHBand="0" w:evenHBand="0" w:firstRowFirstColumn="0" w:firstRowLastColumn="0" w:lastRowFirstColumn="0" w:lastRowLastColumn="0"/>
            <w:tcW w:w="1080" w:type="dxa"/>
            <w:tcBorders>
              <w:left w:val="single" w:sz="4" w:space="0" w:color="auto"/>
            </w:tcBorders>
            <w:shd w:val="clear" w:color="auto" w:fill="ACDBEA"/>
          </w:tcPr>
          <w:p w14:paraId="2D0BC256" w14:textId="77777777" w:rsidR="0079443E" w:rsidRPr="00340EE8" w:rsidRDefault="0079443E" w:rsidP="0079443E">
            <w:pPr>
              <w:spacing w:after="200" w:line="276" w:lineRule="auto"/>
              <w:jc w:val="both"/>
              <w:rPr>
                <w:rFonts w:cstheme="minorHAnsi"/>
                <w:b w:val="0"/>
                <w:bCs w:val="0"/>
                <w:sz w:val="22"/>
                <w:szCs w:val="22"/>
              </w:rPr>
            </w:pPr>
            <w:r w:rsidRPr="00340EE8">
              <w:rPr>
                <w:rFonts w:cstheme="minorHAnsi"/>
                <w:b w:val="0"/>
                <w:bCs w:val="0"/>
                <w:sz w:val="22"/>
                <w:szCs w:val="22"/>
              </w:rPr>
              <w:t>FY2020</w:t>
            </w:r>
          </w:p>
        </w:tc>
        <w:tc>
          <w:tcPr>
            <w:tcW w:w="1080" w:type="dxa"/>
            <w:shd w:val="clear" w:color="auto" w:fill="ACDBEA"/>
          </w:tcPr>
          <w:p w14:paraId="372B2373" w14:textId="77777777" w:rsidR="0079443E" w:rsidRPr="00340EE8" w:rsidRDefault="0079443E" w:rsidP="0079443E">
            <w:pPr>
              <w:spacing w:after="200" w:line="276" w:lineRule="auto"/>
              <w:jc w:val="both"/>
              <w:cnfStyle w:val="100000000000" w:firstRow="1" w:lastRow="0" w:firstColumn="0" w:lastColumn="0" w:oddVBand="0" w:evenVBand="0" w:oddHBand="0" w:evenHBand="0" w:firstRowFirstColumn="0" w:firstRowLastColumn="0" w:lastRowFirstColumn="0" w:lastRowLastColumn="0"/>
              <w:rPr>
                <w:rFonts w:cstheme="minorHAnsi"/>
                <w:b w:val="0"/>
                <w:bCs w:val="0"/>
                <w:sz w:val="22"/>
                <w:szCs w:val="22"/>
              </w:rPr>
            </w:pPr>
            <w:r w:rsidRPr="00340EE8">
              <w:rPr>
                <w:rFonts w:cstheme="minorHAnsi"/>
                <w:b w:val="0"/>
                <w:bCs w:val="0"/>
                <w:sz w:val="22"/>
                <w:szCs w:val="22"/>
              </w:rPr>
              <w:t>FY2021</w:t>
            </w:r>
          </w:p>
        </w:tc>
        <w:tc>
          <w:tcPr>
            <w:cnfStyle w:val="000010000000" w:firstRow="0" w:lastRow="0" w:firstColumn="0" w:lastColumn="0" w:oddVBand="1" w:evenVBand="0" w:oddHBand="0" w:evenHBand="0" w:firstRowFirstColumn="0" w:firstRowLastColumn="0" w:lastRowFirstColumn="0" w:lastRowLastColumn="0"/>
            <w:tcW w:w="1260" w:type="dxa"/>
            <w:shd w:val="clear" w:color="auto" w:fill="ACDBEA"/>
          </w:tcPr>
          <w:p w14:paraId="0CFBD430" w14:textId="77777777" w:rsidR="0079443E" w:rsidRPr="00340EE8" w:rsidRDefault="0079443E" w:rsidP="0079443E">
            <w:pPr>
              <w:jc w:val="both"/>
              <w:rPr>
                <w:rFonts w:cstheme="minorHAnsi"/>
                <w:b w:val="0"/>
                <w:bCs w:val="0"/>
                <w:sz w:val="22"/>
                <w:szCs w:val="22"/>
              </w:rPr>
            </w:pPr>
            <w:r w:rsidRPr="00340EE8">
              <w:rPr>
                <w:rFonts w:cstheme="minorHAnsi"/>
                <w:b w:val="0"/>
                <w:bCs w:val="0"/>
                <w:sz w:val="22"/>
                <w:szCs w:val="22"/>
              </w:rPr>
              <w:t>FY 2022</w:t>
            </w:r>
          </w:p>
        </w:tc>
        <w:tc>
          <w:tcPr>
            <w:tcW w:w="1710" w:type="dxa"/>
            <w:tcBorders>
              <w:right w:val="single" w:sz="4" w:space="0" w:color="auto"/>
            </w:tcBorders>
            <w:shd w:val="clear" w:color="auto" w:fill="ACDBEA"/>
          </w:tcPr>
          <w:p w14:paraId="3407EE02" w14:textId="77777777" w:rsidR="0079443E" w:rsidRPr="00340EE8" w:rsidRDefault="0079443E" w:rsidP="0079443E">
            <w:pPr>
              <w:spacing w:after="200" w:line="276" w:lineRule="auto"/>
              <w:jc w:val="both"/>
              <w:cnfStyle w:val="100000000000" w:firstRow="1" w:lastRow="0" w:firstColumn="0" w:lastColumn="0" w:oddVBand="0" w:evenVBand="0" w:oddHBand="0" w:evenHBand="0" w:firstRowFirstColumn="0" w:firstRowLastColumn="0" w:lastRowFirstColumn="0" w:lastRowLastColumn="0"/>
              <w:rPr>
                <w:rFonts w:cstheme="minorHAnsi"/>
                <w:b w:val="0"/>
                <w:bCs w:val="0"/>
                <w:sz w:val="22"/>
                <w:szCs w:val="22"/>
              </w:rPr>
            </w:pPr>
            <w:r w:rsidRPr="00340EE8">
              <w:rPr>
                <w:rFonts w:cstheme="minorHAnsi"/>
                <w:b w:val="0"/>
                <w:bCs w:val="0"/>
                <w:sz w:val="22"/>
                <w:szCs w:val="22"/>
              </w:rPr>
              <w:t>Admin Costs</w:t>
            </w:r>
          </w:p>
        </w:tc>
        <w:tc>
          <w:tcPr>
            <w:cnfStyle w:val="000100001000" w:firstRow="0" w:lastRow="0" w:firstColumn="0" w:lastColumn="1" w:oddVBand="0" w:evenVBand="0" w:oddHBand="0" w:evenHBand="0" w:firstRowFirstColumn="0" w:firstRowLastColumn="1" w:lastRowFirstColumn="0" w:lastRowLastColumn="0"/>
            <w:tcW w:w="1260" w:type="dxa"/>
            <w:tcBorders>
              <w:left w:val="single" w:sz="4" w:space="0" w:color="auto"/>
            </w:tcBorders>
          </w:tcPr>
          <w:p w14:paraId="2F42A1E3" w14:textId="77777777" w:rsidR="0079443E" w:rsidRPr="00340EE8" w:rsidRDefault="0079443E" w:rsidP="0079443E">
            <w:pPr>
              <w:spacing w:after="200" w:line="276" w:lineRule="auto"/>
              <w:jc w:val="both"/>
              <w:rPr>
                <w:rFonts w:cstheme="minorHAnsi"/>
                <w:b w:val="0"/>
                <w:bCs w:val="0"/>
                <w:i/>
                <w:iCs/>
                <w:sz w:val="22"/>
                <w:szCs w:val="22"/>
              </w:rPr>
            </w:pPr>
            <w:r w:rsidRPr="00340EE8">
              <w:rPr>
                <w:rFonts w:cstheme="minorHAnsi"/>
                <w:b w:val="0"/>
                <w:bCs w:val="0"/>
                <w:i/>
                <w:iCs/>
                <w:sz w:val="22"/>
                <w:szCs w:val="22"/>
              </w:rPr>
              <w:t>Total</w:t>
            </w:r>
          </w:p>
        </w:tc>
      </w:tr>
      <w:tr w:rsidR="0079443E" w:rsidRPr="00340EE8" w14:paraId="1A364F57" w14:textId="77777777" w:rsidTr="0079443E">
        <w:trPr>
          <w:cnfStyle w:val="010000000000" w:firstRow="0" w:lastRow="1" w:firstColumn="0" w:lastColumn="0" w:oddVBand="0" w:evenVBand="0" w:oddHBand="0" w:evenHBand="0" w:firstRowFirstColumn="0" w:firstRowLastColumn="0" w:lastRowFirstColumn="0" w:lastRowLastColumn="0"/>
          <w:trHeight w:val="591"/>
        </w:trPr>
        <w:tc>
          <w:tcPr>
            <w:cnfStyle w:val="001000000000" w:firstRow="0" w:lastRow="0" w:firstColumn="1" w:lastColumn="0" w:oddVBand="0" w:evenVBand="0" w:oddHBand="0" w:evenHBand="0" w:firstRowFirstColumn="0" w:firstRowLastColumn="0" w:lastRowFirstColumn="0" w:lastRowLastColumn="0"/>
            <w:tcW w:w="2160" w:type="dxa"/>
            <w:vMerge/>
            <w:tcBorders>
              <w:right w:val="single" w:sz="4" w:space="0" w:color="auto"/>
            </w:tcBorders>
          </w:tcPr>
          <w:p w14:paraId="596EE5F5" w14:textId="77777777" w:rsidR="0079443E" w:rsidRPr="00340EE8" w:rsidRDefault="0079443E" w:rsidP="0079443E">
            <w:pPr>
              <w:spacing w:after="200" w:line="276" w:lineRule="auto"/>
              <w:jc w:val="both"/>
              <w:rPr>
                <w:rFonts w:cstheme="minorHAnsi"/>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1080" w:type="dxa"/>
            <w:tcBorders>
              <w:left w:val="single" w:sz="4" w:space="0" w:color="auto"/>
            </w:tcBorders>
            <w:shd w:val="clear" w:color="auto" w:fill="ACDBEA"/>
          </w:tcPr>
          <w:p w14:paraId="0E78D0D5" w14:textId="77777777" w:rsidR="0079443E" w:rsidRPr="00340EE8" w:rsidRDefault="0079443E" w:rsidP="0079443E">
            <w:pPr>
              <w:spacing w:after="200" w:line="276" w:lineRule="auto"/>
              <w:jc w:val="both"/>
              <w:rPr>
                <w:rFonts w:cstheme="minorHAnsi"/>
                <w:b w:val="0"/>
                <w:bCs w:val="0"/>
                <w:sz w:val="22"/>
                <w:szCs w:val="22"/>
              </w:rPr>
            </w:pPr>
            <w:r w:rsidRPr="00340EE8">
              <w:rPr>
                <w:rFonts w:cstheme="minorHAnsi"/>
                <w:b w:val="0"/>
                <w:bCs w:val="0"/>
                <w:sz w:val="22"/>
                <w:szCs w:val="22"/>
              </w:rPr>
              <w:t>$940,000</w:t>
            </w:r>
          </w:p>
        </w:tc>
        <w:tc>
          <w:tcPr>
            <w:tcW w:w="1080" w:type="dxa"/>
            <w:shd w:val="clear" w:color="auto" w:fill="ACDBEA"/>
          </w:tcPr>
          <w:p w14:paraId="4BF03346" w14:textId="77777777" w:rsidR="0079443E" w:rsidRPr="00340EE8" w:rsidRDefault="0079443E" w:rsidP="0079443E">
            <w:pPr>
              <w:spacing w:after="200" w:line="276" w:lineRule="auto"/>
              <w:jc w:val="both"/>
              <w:cnfStyle w:val="010000000000" w:firstRow="0" w:lastRow="1" w:firstColumn="0" w:lastColumn="0" w:oddVBand="0" w:evenVBand="0" w:oddHBand="0" w:evenHBand="0" w:firstRowFirstColumn="0" w:firstRowLastColumn="0" w:lastRowFirstColumn="0" w:lastRowLastColumn="0"/>
              <w:rPr>
                <w:rFonts w:cstheme="minorHAnsi"/>
                <w:b w:val="0"/>
                <w:bCs w:val="0"/>
                <w:sz w:val="22"/>
                <w:szCs w:val="22"/>
              </w:rPr>
            </w:pPr>
            <w:r w:rsidRPr="00340EE8">
              <w:rPr>
                <w:rFonts w:cstheme="minorHAnsi"/>
                <w:b w:val="0"/>
                <w:bCs w:val="0"/>
                <w:sz w:val="22"/>
                <w:szCs w:val="22"/>
              </w:rPr>
              <w:t>$902,621</w:t>
            </w:r>
          </w:p>
        </w:tc>
        <w:tc>
          <w:tcPr>
            <w:cnfStyle w:val="000010000000" w:firstRow="0" w:lastRow="0" w:firstColumn="0" w:lastColumn="0" w:oddVBand="1" w:evenVBand="0" w:oddHBand="0" w:evenHBand="0" w:firstRowFirstColumn="0" w:firstRowLastColumn="0" w:lastRowFirstColumn="0" w:lastRowLastColumn="0"/>
            <w:tcW w:w="1260" w:type="dxa"/>
            <w:shd w:val="clear" w:color="auto" w:fill="ACDBEA"/>
          </w:tcPr>
          <w:p w14:paraId="58EBF199" w14:textId="77777777" w:rsidR="0079443E" w:rsidRPr="00340EE8" w:rsidRDefault="0079443E" w:rsidP="0079443E">
            <w:pPr>
              <w:jc w:val="both"/>
              <w:rPr>
                <w:rFonts w:cstheme="minorHAnsi"/>
                <w:b w:val="0"/>
                <w:bCs w:val="0"/>
                <w:sz w:val="22"/>
                <w:szCs w:val="22"/>
              </w:rPr>
            </w:pPr>
            <w:r w:rsidRPr="00340EE8">
              <w:rPr>
                <w:rFonts w:cstheme="minorHAnsi"/>
                <w:b w:val="0"/>
                <w:bCs w:val="0"/>
                <w:sz w:val="22"/>
                <w:szCs w:val="22"/>
              </w:rPr>
              <w:t>$1,013,918</w:t>
            </w:r>
          </w:p>
        </w:tc>
        <w:tc>
          <w:tcPr>
            <w:tcW w:w="1710" w:type="dxa"/>
            <w:tcBorders>
              <w:right w:val="single" w:sz="4" w:space="0" w:color="auto"/>
            </w:tcBorders>
            <w:shd w:val="clear" w:color="auto" w:fill="ACDBEA"/>
          </w:tcPr>
          <w:p w14:paraId="6EA06D5F" w14:textId="77777777" w:rsidR="0079443E" w:rsidRPr="00340EE8" w:rsidRDefault="0079443E" w:rsidP="0079443E">
            <w:pPr>
              <w:spacing w:after="200" w:line="276" w:lineRule="auto"/>
              <w:jc w:val="both"/>
              <w:cnfStyle w:val="010000000000" w:firstRow="0" w:lastRow="1" w:firstColumn="0" w:lastColumn="0" w:oddVBand="0" w:evenVBand="0" w:oddHBand="0" w:evenHBand="0" w:firstRowFirstColumn="0" w:firstRowLastColumn="0" w:lastRowFirstColumn="0" w:lastRowLastColumn="0"/>
              <w:rPr>
                <w:rFonts w:cstheme="minorHAnsi"/>
                <w:b w:val="0"/>
                <w:bCs w:val="0"/>
                <w:sz w:val="22"/>
                <w:szCs w:val="22"/>
              </w:rPr>
            </w:pPr>
            <w:r w:rsidRPr="00340EE8">
              <w:rPr>
                <w:rFonts w:cstheme="minorHAnsi"/>
                <w:b w:val="0"/>
                <w:bCs w:val="0"/>
                <w:sz w:val="22"/>
                <w:szCs w:val="22"/>
              </w:rPr>
              <w:t>($142,827)*</w:t>
            </w:r>
          </w:p>
        </w:tc>
        <w:tc>
          <w:tcPr>
            <w:cnfStyle w:val="000100000000" w:firstRow="0" w:lastRow="0" w:firstColumn="0" w:lastColumn="1" w:oddVBand="0" w:evenVBand="0" w:oddHBand="0" w:evenHBand="0" w:firstRowFirstColumn="0" w:firstRowLastColumn="0" w:lastRowFirstColumn="0" w:lastRowLastColumn="0"/>
            <w:tcW w:w="1260" w:type="dxa"/>
            <w:tcBorders>
              <w:left w:val="single" w:sz="4" w:space="0" w:color="auto"/>
            </w:tcBorders>
          </w:tcPr>
          <w:p w14:paraId="1B90B9D8" w14:textId="77777777" w:rsidR="0079443E" w:rsidRPr="00340EE8" w:rsidRDefault="0079443E" w:rsidP="0079443E">
            <w:pPr>
              <w:spacing w:after="200" w:line="276" w:lineRule="auto"/>
              <w:jc w:val="both"/>
              <w:rPr>
                <w:rFonts w:cstheme="minorHAnsi"/>
                <w:b w:val="0"/>
                <w:bCs w:val="0"/>
                <w:i/>
                <w:iCs/>
                <w:sz w:val="22"/>
                <w:szCs w:val="22"/>
              </w:rPr>
            </w:pPr>
            <w:r w:rsidRPr="00340EE8">
              <w:rPr>
                <w:rFonts w:cstheme="minorHAnsi"/>
                <w:b w:val="0"/>
                <w:bCs w:val="0"/>
                <w:i/>
                <w:iCs/>
                <w:sz w:val="22"/>
                <w:szCs w:val="22"/>
              </w:rPr>
              <w:t>$2,713,712</w:t>
            </w:r>
          </w:p>
        </w:tc>
      </w:tr>
    </w:tbl>
    <w:p w14:paraId="642F3EA2" w14:textId="77777777" w:rsidR="0079443E" w:rsidRDefault="004D0348" w:rsidP="0079443E">
      <w:pPr>
        <w:pStyle w:val="ListParagraph"/>
        <w:ind w:left="0"/>
        <w:jc w:val="both"/>
        <w:rPr>
          <w:rFonts w:cstheme="minorHAnsi"/>
        </w:rPr>
      </w:pPr>
      <w:r w:rsidRPr="00340EE8">
        <w:rPr>
          <w:rFonts w:cstheme="minorHAnsi"/>
        </w:rPr>
        <w:t xml:space="preserve"> </w:t>
      </w:r>
    </w:p>
    <w:p w14:paraId="4ACDD198" w14:textId="77777777" w:rsidR="0079443E" w:rsidRDefault="0079443E" w:rsidP="0079443E">
      <w:pPr>
        <w:pStyle w:val="ListParagraph"/>
        <w:ind w:left="0"/>
        <w:jc w:val="both"/>
        <w:rPr>
          <w:rFonts w:cstheme="minorHAnsi"/>
        </w:rPr>
      </w:pPr>
    </w:p>
    <w:p w14:paraId="56D01BFA" w14:textId="77777777" w:rsidR="0079443E" w:rsidRDefault="0079443E" w:rsidP="0079443E">
      <w:pPr>
        <w:pStyle w:val="ListParagraph"/>
        <w:ind w:left="0"/>
        <w:jc w:val="both"/>
        <w:rPr>
          <w:rFonts w:cstheme="minorHAnsi"/>
        </w:rPr>
      </w:pPr>
    </w:p>
    <w:p w14:paraId="66650AC8" w14:textId="77777777" w:rsidR="0079443E" w:rsidRDefault="0079443E" w:rsidP="0079443E">
      <w:pPr>
        <w:pStyle w:val="ListParagraph"/>
        <w:ind w:left="0"/>
        <w:jc w:val="both"/>
        <w:rPr>
          <w:rFonts w:cstheme="minorHAnsi"/>
        </w:rPr>
      </w:pPr>
    </w:p>
    <w:p w14:paraId="49F84DA4" w14:textId="77777777" w:rsidR="0079443E" w:rsidRDefault="0079443E" w:rsidP="0079443E">
      <w:pPr>
        <w:pStyle w:val="ListParagraph"/>
        <w:ind w:left="0"/>
        <w:jc w:val="both"/>
        <w:rPr>
          <w:rFonts w:cstheme="minorHAnsi"/>
        </w:rPr>
      </w:pPr>
    </w:p>
    <w:p w14:paraId="7329B8AD" w14:textId="55C77BEC" w:rsidR="006D306C" w:rsidRPr="00340EE8" w:rsidRDefault="004D0348" w:rsidP="0079443E">
      <w:pPr>
        <w:pStyle w:val="ListParagraph"/>
        <w:ind w:left="0"/>
        <w:jc w:val="both"/>
        <w:rPr>
          <w:rFonts w:cstheme="minorHAnsi"/>
        </w:rPr>
      </w:pPr>
      <w:r w:rsidRPr="00340EE8">
        <w:rPr>
          <w:rFonts w:cstheme="minorHAnsi"/>
        </w:rPr>
        <w:t>*Ad</w:t>
      </w:r>
      <w:r w:rsidR="006D306C" w:rsidRPr="00340EE8">
        <w:rPr>
          <w:rFonts w:cstheme="minorHAnsi"/>
        </w:rPr>
        <w:t xml:space="preserve">ministrative costs up to five (5) percent of New Mexico’s RHP grant may be used by MFA as </w:t>
      </w:r>
      <w:r w:rsidR="00C54013">
        <w:rPr>
          <w:rFonts w:cstheme="minorHAnsi"/>
        </w:rPr>
        <w:t>s</w:t>
      </w:r>
      <w:r w:rsidR="00C85E3F" w:rsidRPr="00340EE8">
        <w:rPr>
          <w:rFonts w:cstheme="minorHAnsi"/>
        </w:rPr>
        <w:t>ub</w:t>
      </w:r>
      <w:r w:rsidR="00C54013">
        <w:rPr>
          <w:rFonts w:cstheme="minorHAnsi"/>
        </w:rPr>
        <w:t>g</w:t>
      </w:r>
      <w:r w:rsidR="00C85E3F" w:rsidRPr="00340EE8">
        <w:rPr>
          <w:rFonts w:cstheme="minorHAnsi"/>
        </w:rPr>
        <w:t>rantee</w:t>
      </w:r>
      <w:r w:rsidR="006D306C" w:rsidRPr="00340EE8">
        <w:rPr>
          <w:rFonts w:cstheme="minorHAnsi"/>
        </w:rPr>
        <w:t>.</w:t>
      </w:r>
    </w:p>
    <w:p w14:paraId="3FACB8E3" w14:textId="54EEA090" w:rsidR="006D306C" w:rsidRPr="00340EE8" w:rsidRDefault="006D306C" w:rsidP="0079443E">
      <w:pPr>
        <w:jc w:val="both"/>
        <w:rPr>
          <w:rFonts w:cstheme="minorHAnsi"/>
          <w:sz w:val="22"/>
          <w:szCs w:val="22"/>
        </w:rPr>
      </w:pPr>
      <w:r w:rsidRPr="00340EE8">
        <w:rPr>
          <w:rFonts w:cstheme="minorHAnsi"/>
          <w:sz w:val="22"/>
          <w:szCs w:val="22"/>
        </w:rPr>
        <w:t>MFA encourages awardees of RHP funds to leverage as many federal, state, and local resources as possible in order to maximize RHP investment.</w:t>
      </w:r>
    </w:p>
    <w:p w14:paraId="04395C5F" w14:textId="6F179BAF" w:rsidR="00B759FC" w:rsidRPr="00340EE8" w:rsidRDefault="00B759FC" w:rsidP="0079443E">
      <w:pPr>
        <w:pStyle w:val="Heading2"/>
        <w:jc w:val="both"/>
        <w:rPr>
          <w:rFonts w:cstheme="minorHAnsi"/>
        </w:rPr>
      </w:pPr>
      <w:bookmarkStart w:id="6" w:name="_Toc104210896"/>
      <w:bookmarkStart w:id="7" w:name="_Toc117606372"/>
      <w:r w:rsidRPr="00340EE8">
        <w:rPr>
          <w:rFonts w:cstheme="minorHAnsi"/>
        </w:rPr>
        <w:t>Other Federal Resources</w:t>
      </w:r>
      <w:bookmarkEnd w:id="6"/>
      <w:bookmarkEnd w:id="7"/>
    </w:p>
    <w:p w14:paraId="603DB208" w14:textId="77777777" w:rsidR="006D306C" w:rsidRPr="00340EE8" w:rsidRDefault="006D306C" w:rsidP="0079443E">
      <w:pPr>
        <w:jc w:val="both"/>
        <w:rPr>
          <w:rFonts w:cstheme="minorHAnsi"/>
          <w:b/>
          <w:bCs/>
          <w:sz w:val="22"/>
          <w:szCs w:val="22"/>
        </w:rPr>
      </w:pPr>
      <w:r w:rsidRPr="00340EE8">
        <w:rPr>
          <w:rFonts w:cstheme="minorHAnsi"/>
          <w:b/>
          <w:bCs/>
          <w:sz w:val="22"/>
          <w:szCs w:val="22"/>
        </w:rPr>
        <w:t>Additional federal resources include:</w:t>
      </w:r>
    </w:p>
    <w:p w14:paraId="39E3C761" w14:textId="36E8DD42" w:rsidR="006D306C" w:rsidRPr="00340EE8" w:rsidRDefault="006D306C" w:rsidP="0079443E">
      <w:pPr>
        <w:pStyle w:val="ListParagraph"/>
        <w:numPr>
          <w:ilvl w:val="0"/>
          <w:numId w:val="1"/>
        </w:numPr>
        <w:jc w:val="both"/>
        <w:rPr>
          <w:rFonts w:cstheme="minorHAnsi"/>
          <w:sz w:val="22"/>
          <w:szCs w:val="22"/>
        </w:rPr>
      </w:pPr>
      <w:r w:rsidRPr="00340EE8">
        <w:rPr>
          <w:rFonts w:cstheme="minorHAnsi"/>
          <w:sz w:val="22"/>
          <w:szCs w:val="22"/>
        </w:rPr>
        <w:t>HUD’s Veterans Housing Rehabilitation Program</w:t>
      </w:r>
    </w:p>
    <w:p w14:paraId="7264B258" w14:textId="3EF100C9" w:rsidR="006D306C" w:rsidRPr="00340EE8" w:rsidRDefault="006D306C" w:rsidP="0079443E">
      <w:pPr>
        <w:pStyle w:val="ListParagraph"/>
        <w:numPr>
          <w:ilvl w:val="0"/>
          <w:numId w:val="1"/>
        </w:numPr>
        <w:jc w:val="both"/>
        <w:rPr>
          <w:rFonts w:cstheme="minorHAnsi"/>
          <w:sz w:val="22"/>
          <w:szCs w:val="22"/>
        </w:rPr>
      </w:pPr>
      <w:r w:rsidRPr="00340EE8">
        <w:rPr>
          <w:rFonts w:cstheme="minorHAnsi"/>
          <w:sz w:val="22"/>
          <w:szCs w:val="22"/>
        </w:rPr>
        <w:t>United States Department of Agriculture (USDA) programs</w:t>
      </w:r>
    </w:p>
    <w:p w14:paraId="1C1ADF92" w14:textId="32F5600B" w:rsidR="006D306C" w:rsidRPr="00340EE8" w:rsidRDefault="006D306C" w:rsidP="0079443E">
      <w:pPr>
        <w:pStyle w:val="ListParagraph"/>
        <w:numPr>
          <w:ilvl w:val="0"/>
          <w:numId w:val="1"/>
        </w:numPr>
        <w:jc w:val="both"/>
        <w:rPr>
          <w:rFonts w:cstheme="minorHAnsi"/>
          <w:sz w:val="22"/>
          <w:szCs w:val="22"/>
        </w:rPr>
      </w:pPr>
      <w:r w:rsidRPr="00340EE8">
        <w:rPr>
          <w:rFonts w:cstheme="minorHAnsi"/>
          <w:sz w:val="22"/>
          <w:szCs w:val="22"/>
        </w:rPr>
        <w:t>Federal Housing Administration (FHA) loan programs</w:t>
      </w:r>
    </w:p>
    <w:p w14:paraId="4DFF926B" w14:textId="5F18BA54" w:rsidR="006D306C" w:rsidRPr="00340EE8" w:rsidRDefault="006D306C" w:rsidP="0079443E">
      <w:pPr>
        <w:pStyle w:val="ListParagraph"/>
        <w:numPr>
          <w:ilvl w:val="0"/>
          <w:numId w:val="1"/>
        </w:numPr>
        <w:jc w:val="both"/>
        <w:rPr>
          <w:rFonts w:cstheme="minorHAnsi"/>
          <w:sz w:val="22"/>
          <w:szCs w:val="22"/>
        </w:rPr>
      </w:pPr>
      <w:r w:rsidRPr="00340EE8">
        <w:rPr>
          <w:rFonts w:cstheme="minorHAnsi"/>
          <w:sz w:val="22"/>
          <w:szCs w:val="22"/>
        </w:rPr>
        <w:t>Low Income Housing Tax Credits (LIHTC)</w:t>
      </w:r>
    </w:p>
    <w:p w14:paraId="60A0FD6B" w14:textId="6EC20B8D" w:rsidR="006D306C" w:rsidRPr="00340EE8" w:rsidRDefault="006D306C" w:rsidP="0079443E">
      <w:pPr>
        <w:pStyle w:val="ListParagraph"/>
        <w:numPr>
          <w:ilvl w:val="0"/>
          <w:numId w:val="1"/>
        </w:numPr>
        <w:jc w:val="both"/>
        <w:rPr>
          <w:rFonts w:cstheme="minorHAnsi"/>
          <w:sz w:val="22"/>
          <w:szCs w:val="22"/>
        </w:rPr>
      </w:pPr>
      <w:r w:rsidRPr="00340EE8">
        <w:rPr>
          <w:rFonts w:cstheme="minorHAnsi"/>
          <w:sz w:val="22"/>
          <w:szCs w:val="22"/>
        </w:rPr>
        <w:t>HOME Investment Partnership Program</w:t>
      </w:r>
    </w:p>
    <w:p w14:paraId="1B26D6F4" w14:textId="738F969A" w:rsidR="006D306C" w:rsidRPr="00340EE8" w:rsidRDefault="006D306C" w:rsidP="0079443E">
      <w:pPr>
        <w:pStyle w:val="ListParagraph"/>
        <w:numPr>
          <w:ilvl w:val="0"/>
          <w:numId w:val="1"/>
        </w:numPr>
        <w:jc w:val="both"/>
        <w:rPr>
          <w:rFonts w:cstheme="minorHAnsi"/>
          <w:sz w:val="22"/>
          <w:szCs w:val="22"/>
        </w:rPr>
      </w:pPr>
      <w:r w:rsidRPr="00340EE8">
        <w:rPr>
          <w:rFonts w:cstheme="minorHAnsi"/>
          <w:sz w:val="22"/>
          <w:szCs w:val="22"/>
        </w:rPr>
        <w:t>Community Development Block Grant (CDBG)</w:t>
      </w:r>
    </w:p>
    <w:p w14:paraId="3C110364" w14:textId="78BD77B1" w:rsidR="006D306C" w:rsidRPr="00340EE8" w:rsidRDefault="006D306C" w:rsidP="0079443E">
      <w:pPr>
        <w:pStyle w:val="ListParagraph"/>
        <w:numPr>
          <w:ilvl w:val="0"/>
          <w:numId w:val="1"/>
        </w:numPr>
        <w:jc w:val="both"/>
        <w:rPr>
          <w:rFonts w:cstheme="minorHAnsi"/>
          <w:sz w:val="22"/>
          <w:szCs w:val="22"/>
        </w:rPr>
      </w:pPr>
      <w:r w:rsidRPr="00340EE8">
        <w:rPr>
          <w:rFonts w:cstheme="minorHAnsi"/>
          <w:sz w:val="22"/>
          <w:szCs w:val="22"/>
        </w:rPr>
        <w:t>Continuum of Care (COC)</w:t>
      </w:r>
    </w:p>
    <w:p w14:paraId="73BBE85E" w14:textId="49F80679" w:rsidR="006D306C" w:rsidRPr="00340EE8" w:rsidRDefault="006D306C" w:rsidP="0079443E">
      <w:pPr>
        <w:pStyle w:val="ListParagraph"/>
        <w:numPr>
          <w:ilvl w:val="0"/>
          <w:numId w:val="1"/>
        </w:numPr>
        <w:jc w:val="both"/>
        <w:rPr>
          <w:rFonts w:cstheme="minorHAnsi"/>
          <w:sz w:val="22"/>
          <w:szCs w:val="22"/>
        </w:rPr>
      </w:pPr>
      <w:r w:rsidRPr="00340EE8">
        <w:rPr>
          <w:rFonts w:cstheme="minorHAnsi"/>
          <w:sz w:val="22"/>
          <w:szCs w:val="22"/>
        </w:rPr>
        <w:t>Housing Opportunities People with Aids (HOPWA)</w:t>
      </w:r>
    </w:p>
    <w:p w14:paraId="0ACE6493" w14:textId="3A46585C" w:rsidR="006D306C" w:rsidRPr="00340EE8" w:rsidRDefault="006D306C" w:rsidP="0079443E">
      <w:pPr>
        <w:pStyle w:val="ListParagraph"/>
        <w:numPr>
          <w:ilvl w:val="0"/>
          <w:numId w:val="1"/>
        </w:numPr>
        <w:jc w:val="both"/>
        <w:rPr>
          <w:rFonts w:cstheme="minorHAnsi"/>
          <w:sz w:val="22"/>
          <w:szCs w:val="22"/>
        </w:rPr>
      </w:pPr>
      <w:r w:rsidRPr="00340EE8">
        <w:rPr>
          <w:rFonts w:cstheme="minorHAnsi"/>
          <w:sz w:val="22"/>
          <w:szCs w:val="22"/>
        </w:rPr>
        <w:t>HUD Housing Trust Fund</w:t>
      </w:r>
    </w:p>
    <w:p w14:paraId="2AF509C9" w14:textId="3C663656" w:rsidR="006D306C" w:rsidRPr="00340EE8" w:rsidRDefault="006D306C" w:rsidP="0079443E">
      <w:pPr>
        <w:pStyle w:val="ListParagraph"/>
        <w:numPr>
          <w:ilvl w:val="0"/>
          <w:numId w:val="1"/>
        </w:numPr>
        <w:jc w:val="both"/>
        <w:rPr>
          <w:rFonts w:cstheme="minorHAnsi"/>
          <w:sz w:val="22"/>
          <w:szCs w:val="22"/>
        </w:rPr>
      </w:pPr>
      <w:r w:rsidRPr="00340EE8">
        <w:rPr>
          <w:rFonts w:cstheme="minorHAnsi"/>
          <w:sz w:val="22"/>
          <w:szCs w:val="22"/>
        </w:rPr>
        <w:t>Emergency Shelter Grant (ESG)</w:t>
      </w:r>
    </w:p>
    <w:p w14:paraId="306437F8" w14:textId="5D3C01C7" w:rsidR="006D306C" w:rsidRPr="00340EE8" w:rsidRDefault="00B759FC" w:rsidP="0079443E">
      <w:pPr>
        <w:pStyle w:val="Heading2"/>
        <w:jc w:val="both"/>
        <w:rPr>
          <w:rFonts w:cstheme="minorHAnsi"/>
        </w:rPr>
      </w:pPr>
      <w:bookmarkStart w:id="8" w:name="_Toc104210897"/>
      <w:bookmarkStart w:id="9" w:name="_Toc117606373"/>
      <w:r w:rsidRPr="00340EE8">
        <w:rPr>
          <w:rFonts w:cstheme="minorHAnsi"/>
        </w:rPr>
        <w:lastRenderedPageBreak/>
        <w:t>State Resources</w:t>
      </w:r>
      <w:bookmarkEnd w:id="8"/>
      <w:bookmarkEnd w:id="9"/>
    </w:p>
    <w:p w14:paraId="0FC40036" w14:textId="77777777" w:rsidR="006D306C" w:rsidRPr="00340EE8" w:rsidRDefault="006D306C" w:rsidP="0079443E">
      <w:pPr>
        <w:jc w:val="both"/>
        <w:rPr>
          <w:rFonts w:cstheme="minorHAnsi"/>
          <w:b/>
          <w:bCs/>
          <w:sz w:val="22"/>
          <w:szCs w:val="22"/>
        </w:rPr>
      </w:pPr>
      <w:r w:rsidRPr="00340EE8">
        <w:rPr>
          <w:rFonts w:cstheme="minorHAnsi"/>
          <w:b/>
          <w:bCs/>
          <w:sz w:val="22"/>
          <w:szCs w:val="22"/>
        </w:rPr>
        <w:t>Other nonfederal resources may be available through MFA to include:</w:t>
      </w:r>
    </w:p>
    <w:p w14:paraId="6D48C64C" w14:textId="7170A7FB" w:rsidR="006D306C" w:rsidRPr="00340EE8" w:rsidRDefault="006D306C" w:rsidP="0079443E">
      <w:pPr>
        <w:pStyle w:val="ListParagraph"/>
        <w:numPr>
          <w:ilvl w:val="0"/>
          <w:numId w:val="6"/>
        </w:numPr>
        <w:jc w:val="both"/>
        <w:rPr>
          <w:rFonts w:cstheme="minorHAnsi"/>
          <w:sz w:val="22"/>
          <w:szCs w:val="22"/>
        </w:rPr>
      </w:pPr>
      <w:r w:rsidRPr="00340EE8">
        <w:rPr>
          <w:rFonts w:cstheme="minorHAnsi"/>
          <w:sz w:val="22"/>
          <w:szCs w:val="22"/>
        </w:rPr>
        <w:t>Resources from State legislative allocations</w:t>
      </w:r>
    </w:p>
    <w:p w14:paraId="1BEC31AC" w14:textId="52015860" w:rsidR="006D306C" w:rsidRPr="00340EE8" w:rsidRDefault="006D306C" w:rsidP="0079443E">
      <w:pPr>
        <w:pStyle w:val="ListParagraph"/>
        <w:numPr>
          <w:ilvl w:val="0"/>
          <w:numId w:val="6"/>
        </w:numPr>
        <w:jc w:val="both"/>
        <w:rPr>
          <w:rFonts w:cstheme="minorHAnsi"/>
          <w:sz w:val="22"/>
          <w:szCs w:val="22"/>
        </w:rPr>
      </w:pPr>
      <w:r w:rsidRPr="00340EE8">
        <w:rPr>
          <w:rFonts w:cstheme="minorHAnsi"/>
          <w:sz w:val="22"/>
          <w:szCs w:val="22"/>
        </w:rPr>
        <w:t>New Mexico Housing Trust Fund</w:t>
      </w:r>
    </w:p>
    <w:p w14:paraId="4F3A41DD" w14:textId="06FB4DAB" w:rsidR="006D306C" w:rsidRPr="00340EE8" w:rsidRDefault="006D306C" w:rsidP="0079443E">
      <w:pPr>
        <w:pStyle w:val="ListParagraph"/>
        <w:numPr>
          <w:ilvl w:val="0"/>
          <w:numId w:val="6"/>
        </w:numPr>
        <w:jc w:val="both"/>
        <w:rPr>
          <w:rFonts w:cstheme="minorHAnsi"/>
          <w:sz w:val="22"/>
          <w:szCs w:val="22"/>
        </w:rPr>
      </w:pPr>
      <w:r w:rsidRPr="00340EE8">
        <w:rPr>
          <w:rFonts w:cstheme="minorHAnsi"/>
          <w:sz w:val="22"/>
          <w:szCs w:val="22"/>
        </w:rPr>
        <w:t>MFA’s Primero Fund</w:t>
      </w:r>
    </w:p>
    <w:p w14:paraId="05CFC176" w14:textId="3CDD5F5B" w:rsidR="006D306C" w:rsidRPr="00340EE8" w:rsidRDefault="006D306C" w:rsidP="0079443E">
      <w:pPr>
        <w:pStyle w:val="ListParagraph"/>
        <w:numPr>
          <w:ilvl w:val="0"/>
          <w:numId w:val="6"/>
        </w:numPr>
        <w:jc w:val="both"/>
        <w:rPr>
          <w:rFonts w:cstheme="minorHAnsi"/>
          <w:sz w:val="22"/>
          <w:szCs w:val="22"/>
        </w:rPr>
      </w:pPr>
      <w:r w:rsidRPr="00340EE8">
        <w:rPr>
          <w:rFonts w:cstheme="minorHAnsi"/>
          <w:sz w:val="22"/>
          <w:szCs w:val="22"/>
        </w:rPr>
        <w:t>New Mexico Affordable Housing Tax Credit</w:t>
      </w:r>
    </w:p>
    <w:p w14:paraId="0E3D809F" w14:textId="77777777" w:rsidR="006D306C" w:rsidRPr="00340EE8" w:rsidRDefault="006D306C" w:rsidP="00FE1C38">
      <w:pPr>
        <w:jc w:val="both"/>
        <w:rPr>
          <w:rFonts w:cstheme="minorHAnsi"/>
          <w:sz w:val="22"/>
          <w:szCs w:val="22"/>
        </w:rPr>
      </w:pPr>
      <w:r w:rsidRPr="00340EE8">
        <w:rPr>
          <w:rFonts w:cstheme="minorHAnsi"/>
          <w:sz w:val="22"/>
          <w:szCs w:val="22"/>
        </w:rPr>
        <w:t>Many partners also leverage other state resources, such as funding from the New Mexico Human Services Department and the New Mexico Children, Youth &amp; Families Department. Further, local governments may provide resources, and private support may be available from organizations such as the United Way or from developer contributions (land, deferred developer fee, loans) and private donations.</w:t>
      </w:r>
    </w:p>
    <w:p w14:paraId="687C0271" w14:textId="3B4F6D1A" w:rsidR="006D306C" w:rsidRPr="00340EE8" w:rsidRDefault="006D306C" w:rsidP="0079443E">
      <w:pPr>
        <w:pStyle w:val="Heading1"/>
        <w:jc w:val="both"/>
        <w:rPr>
          <w:rFonts w:cstheme="minorHAnsi"/>
        </w:rPr>
      </w:pPr>
      <w:bookmarkStart w:id="10" w:name="_Toc104210898"/>
      <w:bookmarkStart w:id="11" w:name="_Toc117606374"/>
      <w:r w:rsidRPr="00340EE8">
        <w:rPr>
          <w:rFonts w:cstheme="minorHAnsi"/>
        </w:rPr>
        <w:t>Administration Summary</w:t>
      </w:r>
      <w:bookmarkEnd w:id="10"/>
      <w:bookmarkEnd w:id="11"/>
    </w:p>
    <w:p w14:paraId="7876891B" w14:textId="75BF9B07" w:rsidR="006D306C" w:rsidRPr="00340EE8" w:rsidRDefault="006D306C" w:rsidP="00FE1C38">
      <w:pPr>
        <w:jc w:val="both"/>
        <w:rPr>
          <w:rFonts w:cstheme="minorHAnsi"/>
          <w:sz w:val="22"/>
          <w:szCs w:val="22"/>
        </w:rPr>
      </w:pPr>
      <w:r w:rsidRPr="00340EE8">
        <w:rPr>
          <w:rFonts w:cstheme="minorHAnsi"/>
          <w:sz w:val="22"/>
          <w:szCs w:val="22"/>
        </w:rPr>
        <w:t>NM DFA-LGD will oversee MFA’s administration of the entire New Mexico RHP allocations for FY2020</w:t>
      </w:r>
      <w:r w:rsidR="002E2D0B" w:rsidRPr="00340EE8">
        <w:rPr>
          <w:rFonts w:cstheme="minorHAnsi"/>
          <w:sz w:val="22"/>
          <w:szCs w:val="22"/>
        </w:rPr>
        <w:t>,</w:t>
      </w:r>
      <w:r w:rsidRPr="00340EE8">
        <w:rPr>
          <w:rFonts w:cstheme="minorHAnsi"/>
          <w:sz w:val="22"/>
          <w:szCs w:val="22"/>
        </w:rPr>
        <w:t xml:space="preserve"> FY2021</w:t>
      </w:r>
      <w:r w:rsidR="002E2D0B" w:rsidRPr="00340EE8">
        <w:rPr>
          <w:rFonts w:cstheme="minorHAnsi"/>
          <w:sz w:val="22"/>
          <w:szCs w:val="22"/>
        </w:rPr>
        <w:t>, FY2022</w:t>
      </w:r>
      <w:r w:rsidRPr="00340EE8">
        <w:rPr>
          <w:rFonts w:cstheme="minorHAnsi"/>
          <w:sz w:val="22"/>
          <w:szCs w:val="22"/>
        </w:rPr>
        <w:t xml:space="preserve"> and subsequent allocations. As such, DFA-LGD will provide grant management, monitoring, and ensure environmental review compliance. It will also ensure compliance with residential anti-displacement and relocation assistance plans, following their adoption, and the acquisition and relocation requirements of the Uniform Relocation Act. Oversight will be performed according to the state’s CDBG Implementation Manual adjusted for waivers and alternative requirements for the Pilot Recovery Housing Program.</w:t>
      </w:r>
    </w:p>
    <w:p w14:paraId="1454C6DC" w14:textId="77777777" w:rsidR="00B759FC" w:rsidRPr="00340EE8" w:rsidRDefault="006D306C" w:rsidP="0079443E">
      <w:pPr>
        <w:spacing w:before="0" w:after="0" w:line="240" w:lineRule="auto"/>
        <w:jc w:val="both"/>
        <w:rPr>
          <w:rFonts w:cstheme="minorHAnsi"/>
          <w:sz w:val="22"/>
          <w:szCs w:val="22"/>
        </w:rPr>
      </w:pPr>
      <w:r w:rsidRPr="00340EE8">
        <w:rPr>
          <w:rFonts w:cstheme="minorHAnsi"/>
          <w:sz w:val="22"/>
          <w:szCs w:val="22"/>
        </w:rPr>
        <w:t xml:space="preserve">Point of Contact: Carmen B. Morin, Bureau Chief </w:t>
      </w:r>
    </w:p>
    <w:p w14:paraId="7676CBC3" w14:textId="57F2AFF2" w:rsidR="006D306C" w:rsidRPr="00340EE8" w:rsidRDefault="006D306C" w:rsidP="0079443E">
      <w:pPr>
        <w:spacing w:before="0" w:after="0" w:line="240" w:lineRule="auto"/>
        <w:jc w:val="both"/>
        <w:rPr>
          <w:rFonts w:cstheme="minorHAnsi"/>
          <w:sz w:val="22"/>
          <w:szCs w:val="22"/>
        </w:rPr>
      </w:pPr>
      <w:r w:rsidRPr="00340EE8">
        <w:rPr>
          <w:rFonts w:cstheme="minorHAnsi"/>
          <w:sz w:val="22"/>
          <w:szCs w:val="22"/>
        </w:rPr>
        <w:t>Community Development Bureau</w:t>
      </w:r>
    </w:p>
    <w:p w14:paraId="4673FAE4" w14:textId="77777777" w:rsidR="006D306C" w:rsidRPr="00340EE8" w:rsidRDefault="006D306C" w:rsidP="0079443E">
      <w:pPr>
        <w:spacing w:before="0" w:after="0" w:line="240" w:lineRule="auto"/>
        <w:jc w:val="both"/>
        <w:rPr>
          <w:rFonts w:cstheme="minorHAnsi"/>
          <w:sz w:val="22"/>
          <w:szCs w:val="22"/>
        </w:rPr>
      </w:pPr>
      <w:r w:rsidRPr="00340EE8">
        <w:rPr>
          <w:rFonts w:cstheme="minorHAnsi"/>
          <w:sz w:val="22"/>
          <w:szCs w:val="22"/>
        </w:rPr>
        <w:t>407 Galisteo, Santa Fe NM 87501</w:t>
      </w:r>
    </w:p>
    <w:p w14:paraId="6A6CCAD4" w14:textId="77777777" w:rsidR="006D306C" w:rsidRPr="00340EE8" w:rsidRDefault="006D306C" w:rsidP="0079443E">
      <w:pPr>
        <w:spacing w:before="0" w:after="0" w:line="240" w:lineRule="auto"/>
        <w:jc w:val="both"/>
        <w:rPr>
          <w:rFonts w:cstheme="minorHAnsi"/>
          <w:sz w:val="22"/>
          <w:szCs w:val="22"/>
        </w:rPr>
      </w:pPr>
      <w:r w:rsidRPr="00340EE8">
        <w:rPr>
          <w:rFonts w:cstheme="minorHAnsi"/>
          <w:sz w:val="22"/>
          <w:szCs w:val="22"/>
        </w:rPr>
        <w:t>Cell: (505) 470-8979</w:t>
      </w:r>
    </w:p>
    <w:p w14:paraId="507C7FA2" w14:textId="642A6886" w:rsidR="00933FAC" w:rsidRPr="0079443E" w:rsidRDefault="006D306C" w:rsidP="00933FAC">
      <w:pPr>
        <w:spacing w:before="0" w:after="0" w:line="240" w:lineRule="auto"/>
        <w:jc w:val="both"/>
        <w:rPr>
          <w:sz w:val="22"/>
          <w:szCs w:val="22"/>
        </w:rPr>
      </w:pPr>
      <w:r w:rsidRPr="0079443E">
        <w:rPr>
          <w:rFonts w:cstheme="minorHAnsi"/>
          <w:sz w:val="22"/>
          <w:szCs w:val="22"/>
        </w:rPr>
        <w:t xml:space="preserve">Email: </w:t>
      </w:r>
      <w:hyperlink r:id="rId14" w:history="1">
        <w:r w:rsidR="00730864" w:rsidRPr="0079443E">
          <w:rPr>
            <w:rStyle w:val="Hyperlink"/>
            <w:sz w:val="22"/>
            <w:szCs w:val="22"/>
          </w:rPr>
          <w:t>carminB.morin@dfa.nm.gov</w:t>
        </w:r>
      </w:hyperlink>
    </w:p>
    <w:p w14:paraId="30E4FD69" w14:textId="30EFE7CD" w:rsidR="006D306C" w:rsidRPr="00340EE8" w:rsidRDefault="006D306C" w:rsidP="00FE1C38">
      <w:pPr>
        <w:jc w:val="both"/>
        <w:rPr>
          <w:rFonts w:cstheme="minorHAnsi"/>
          <w:sz w:val="22"/>
          <w:szCs w:val="22"/>
        </w:rPr>
      </w:pPr>
      <w:r w:rsidRPr="00340EE8">
        <w:rPr>
          <w:rFonts w:cstheme="minorHAnsi"/>
          <w:sz w:val="22"/>
          <w:szCs w:val="22"/>
        </w:rPr>
        <w:t xml:space="preserve">The </w:t>
      </w:r>
      <w:r w:rsidR="004014E8" w:rsidRPr="00340EE8">
        <w:rPr>
          <w:rFonts w:cstheme="minorHAnsi"/>
          <w:sz w:val="22"/>
          <w:szCs w:val="22"/>
        </w:rPr>
        <w:t>MFA</w:t>
      </w:r>
      <w:r w:rsidRPr="00340EE8">
        <w:rPr>
          <w:rFonts w:cstheme="minorHAnsi"/>
          <w:sz w:val="22"/>
          <w:szCs w:val="22"/>
        </w:rPr>
        <w:t xml:space="preserve"> will be responsible for administering RHP activities in compliance with RHP requirements under the oversight of the DFA.</w:t>
      </w:r>
    </w:p>
    <w:p w14:paraId="5BDA84E7" w14:textId="77777777" w:rsidR="006D306C" w:rsidRPr="00340EE8" w:rsidRDefault="006D306C" w:rsidP="00FE1C38">
      <w:pPr>
        <w:jc w:val="both"/>
        <w:rPr>
          <w:rFonts w:cstheme="minorHAnsi"/>
          <w:sz w:val="22"/>
          <w:szCs w:val="22"/>
        </w:rPr>
      </w:pPr>
      <w:r w:rsidRPr="00340EE8">
        <w:rPr>
          <w:rFonts w:cstheme="minorHAnsi"/>
          <w:sz w:val="22"/>
          <w:szCs w:val="22"/>
        </w:rPr>
        <w:t>Theresa Laredo-Garcia will serve as the project manager for New Mexico’s Recovery Housing Program with her primary role to ensure coordinated effort and non-duplication of services. Ms. Laredo-Garcia has 37 years of experience in housing programs. She brings this wealth of knowledge and her outcome-driven project management skills to this project.</w:t>
      </w:r>
    </w:p>
    <w:p w14:paraId="0AF4D728" w14:textId="77777777" w:rsidR="00B759FC" w:rsidRPr="00340EE8" w:rsidRDefault="006D306C" w:rsidP="0079443E">
      <w:pPr>
        <w:spacing w:before="0" w:after="0" w:line="240" w:lineRule="auto"/>
        <w:jc w:val="both"/>
        <w:rPr>
          <w:rFonts w:cstheme="minorHAnsi"/>
          <w:sz w:val="22"/>
          <w:szCs w:val="22"/>
        </w:rPr>
      </w:pPr>
      <w:r w:rsidRPr="00340EE8">
        <w:rPr>
          <w:rFonts w:cstheme="minorHAnsi"/>
          <w:sz w:val="22"/>
          <w:szCs w:val="22"/>
        </w:rPr>
        <w:t xml:space="preserve">Point of Contact: Theresa Laredo-Garcia, Program Development Manager </w:t>
      </w:r>
    </w:p>
    <w:p w14:paraId="69297100" w14:textId="67D9BFFB" w:rsidR="006D306C" w:rsidRPr="00340EE8" w:rsidRDefault="006D306C" w:rsidP="0079443E">
      <w:pPr>
        <w:spacing w:before="0" w:after="0" w:line="240" w:lineRule="auto"/>
        <w:jc w:val="both"/>
        <w:rPr>
          <w:rFonts w:cstheme="minorHAnsi"/>
          <w:sz w:val="22"/>
          <w:szCs w:val="22"/>
        </w:rPr>
      </w:pPr>
      <w:r w:rsidRPr="00340EE8">
        <w:rPr>
          <w:rFonts w:cstheme="minorHAnsi"/>
          <w:sz w:val="22"/>
          <w:szCs w:val="22"/>
        </w:rPr>
        <w:t>Programs D</w:t>
      </w:r>
      <w:r w:rsidR="004014E8" w:rsidRPr="00340EE8">
        <w:rPr>
          <w:rFonts w:cstheme="minorHAnsi"/>
          <w:sz w:val="22"/>
          <w:szCs w:val="22"/>
        </w:rPr>
        <w:t>epartment</w:t>
      </w:r>
    </w:p>
    <w:p w14:paraId="75E0FA18" w14:textId="77777777" w:rsidR="006D306C" w:rsidRPr="00340EE8" w:rsidRDefault="006D306C" w:rsidP="0079443E">
      <w:pPr>
        <w:spacing w:before="0" w:after="0" w:line="240" w:lineRule="auto"/>
        <w:jc w:val="both"/>
        <w:rPr>
          <w:rFonts w:cstheme="minorHAnsi"/>
          <w:sz w:val="22"/>
          <w:szCs w:val="22"/>
        </w:rPr>
      </w:pPr>
      <w:r w:rsidRPr="00340EE8">
        <w:rPr>
          <w:rFonts w:cstheme="minorHAnsi"/>
          <w:sz w:val="22"/>
          <w:szCs w:val="22"/>
        </w:rPr>
        <w:t>NM Mortgage Finance Authority</w:t>
      </w:r>
    </w:p>
    <w:p w14:paraId="52E7568A" w14:textId="77777777" w:rsidR="006D306C" w:rsidRPr="00340EE8" w:rsidRDefault="006D306C" w:rsidP="0079443E">
      <w:pPr>
        <w:spacing w:before="0" w:after="0" w:line="240" w:lineRule="auto"/>
        <w:jc w:val="both"/>
        <w:rPr>
          <w:rFonts w:cstheme="minorHAnsi"/>
          <w:sz w:val="22"/>
          <w:szCs w:val="22"/>
        </w:rPr>
      </w:pPr>
      <w:r w:rsidRPr="00340EE8">
        <w:rPr>
          <w:rFonts w:cstheme="minorHAnsi"/>
          <w:sz w:val="22"/>
          <w:szCs w:val="22"/>
        </w:rPr>
        <w:t>344 4th Street, Albuquerque, NM 87102</w:t>
      </w:r>
    </w:p>
    <w:p w14:paraId="0FEFD4A9" w14:textId="77777777" w:rsidR="006D306C" w:rsidRPr="00340EE8" w:rsidRDefault="006D306C" w:rsidP="0079443E">
      <w:pPr>
        <w:spacing w:before="0" w:after="0" w:line="240" w:lineRule="auto"/>
        <w:jc w:val="both"/>
        <w:rPr>
          <w:rFonts w:cstheme="minorHAnsi"/>
          <w:sz w:val="22"/>
          <w:szCs w:val="22"/>
        </w:rPr>
      </w:pPr>
      <w:r w:rsidRPr="00340EE8">
        <w:rPr>
          <w:rFonts w:cstheme="minorHAnsi"/>
          <w:sz w:val="22"/>
          <w:szCs w:val="22"/>
        </w:rPr>
        <w:t>Office: (505) 767-2244</w:t>
      </w:r>
    </w:p>
    <w:p w14:paraId="7EBE19C7" w14:textId="4EE996B9" w:rsidR="006D306C" w:rsidRDefault="006D306C" w:rsidP="00FE1C38">
      <w:pPr>
        <w:spacing w:before="0" w:after="0" w:line="240" w:lineRule="auto"/>
        <w:jc w:val="both"/>
        <w:rPr>
          <w:rStyle w:val="Hyperlink"/>
          <w:rFonts w:cstheme="minorHAnsi"/>
          <w:sz w:val="22"/>
          <w:szCs w:val="22"/>
        </w:rPr>
      </w:pPr>
      <w:r w:rsidRPr="00340EE8">
        <w:rPr>
          <w:rFonts w:cstheme="minorHAnsi"/>
          <w:sz w:val="22"/>
          <w:szCs w:val="22"/>
        </w:rPr>
        <w:t xml:space="preserve">Email: </w:t>
      </w:r>
      <w:hyperlink r:id="rId15" w:history="1">
        <w:r w:rsidR="00643644" w:rsidRPr="00340EE8">
          <w:rPr>
            <w:rStyle w:val="Hyperlink"/>
            <w:rFonts w:cstheme="minorHAnsi"/>
            <w:sz w:val="22"/>
            <w:szCs w:val="22"/>
          </w:rPr>
          <w:t>tgarcia@housingnm.org</w:t>
        </w:r>
      </w:hyperlink>
    </w:p>
    <w:p w14:paraId="72481504" w14:textId="77777777" w:rsidR="00FE1C38" w:rsidRPr="00340EE8" w:rsidRDefault="00FE1C38" w:rsidP="00FE1C38">
      <w:pPr>
        <w:spacing w:before="0" w:after="0" w:line="240" w:lineRule="auto"/>
        <w:jc w:val="both"/>
        <w:rPr>
          <w:rFonts w:cstheme="minorHAnsi"/>
          <w:sz w:val="22"/>
          <w:szCs w:val="22"/>
        </w:rPr>
      </w:pPr>
    </w:p>
    <w:p w14:paraId="53772B4B" w14:textId="77777777" w:rsidR="00643644" w:rsidRPr="00340EE8" w:rsidRDefault="00643644" w:rsidP="0079443E">
      <w:pPr>
        <w:spacing w:before="0" w:after="0" w:line="240" w:lineRule="auto"/>
        <w:jc w:val="both"/>
        <w:rPr>
          <w:rFonts w:cstheme="minorHAnsi"/>
          <w:sz w:val="22"/>
          <w:szCs w:val="22"/>
        </w:rPr>
      </w:pPr>
    </w:p>
    <w:p w14:paraId="5DEFE4F2" w14:textId="77777777" w:rsidR="006D306C" w:rsidRPr="00340EE8" w:rsidRDefault="006D306C" w:rsidP="0079443E">
      <w:pPr>
        <w:pStyle w:val="Heading1"/>
        <w:jc w:val="both"/>
        <w:rPr>
          <w:rFonts w:cstheme="minorHAnsi"/>
        </w:rPr>
      </w:pPr>
      <w:bookmarkStart w:id="12" w:name="_Toc104210899"/>
      <w:bookmarkStart w:id="13" w:name="_Toc117606375"/>
      <w:r w:rsidRPr="00340EE8">
        <w:rPr>
          <w:rFonts w:cstheme="minorHAnsi"/>
        </w:rPr>
        <w:lastRenderedPageBreak/>
        <w:t>Use of Funds</w:t>
      </w:r>
      <w:bookmarkEnd w:id="12"/>
      <w:bookmarkEnd w:id="13"/>
    </w:p>
    <w:p w14:paraId="4283E22D" w14:textId="045D9EAF" w:rsidR="006D306C" w:rsidRPr="00340EE8" w:rsidRDefault="006D306C" w:rsidP="0079443E">
      <w:pPr>
        <w:pStyle w:val="Heading2"/>
        <w:jc w:val="both"/>
        <w:rPr>
          <w:rFonts w:cstheme="minorHAnsi"/>
        </w:rPr>
      </w:pPr>
      <w:bookmarkStart w:id="14" w:name="_Toc104210900"/>
      <w:bookmarkStart w:id="15" w:name="_Toc117606376"/>
      <w:r w:rsidRPr="00340EE8">
        <w:rPr>
          <w:rFonts w:cstheme="minorHAnsi"/>
        </w:rPr>
        <w:t>Eligible Activities</w:t>
      </w:r>
      <w:bookmarkEnd w:id="14"/>
      <w:bookmarkEnd w:id="15"/>
    </w:p>
    <w:p w14:paraId="5DF85527" w14:textId="4B011182" w:rsidR="00A77D94" w:rsidRPr="00340EE8" w:rsidRDefault="00643644" w:rsidP="00FE1C38">
      <w:pPr>
        <w:jc w:val="both"/>
        <w:rPr>
          <w:rFonts w:cstheme="minorHAnsi"/>
          <w:sz w:val="22"/>
          <w:szCs w:val="22"/>
        </w:rPr>
      </w:pPr>
      <w:r w:rsidRPr="00340EE8">
        <w:rPr>
          <w:rFonts w:cstheme="minorHAnsi"/>
          <w:sz w:val="22"/>
          <w:szCs w:val="22"/>
        </w:rPr>
        <w:t>According to FR-6225-N-01 Section H. Overview of Grant Process and RHP Action Plan Requirements, eligible activities include the following:</w:t>
      </w:r>
    </w:p>
    <w:p w14:paraId="199B6DC5" w14:textId="6CC131A1" w:rsidR="00B759FC" w:rsidRPr="00340EE8" w:rsidRDefault="006D306C" w:rsidP="0079443E">
      <w:pPr>
        <w:pStyle w:val="Heading3"/>
        <w:jc w:val="both"/>
        <w:rPr>
          <w:rFonts w:cstheme="minorHAnsi"/>
        </w:rPr>
      </w:pPr>
      <w:bookmarkStart w:id="16" w:name="_Toc104210901"/>
      <w:r w:rsidRPr="00340EE8">
        <w:rPr>
          <w:rFonts w:cstheme="minorHAnsi"/>
        </w:rPr>
        <w:t>Public Facilities and Improvements</w:t>
      </w:r>
      <w:bookmarkEnd w:id="16"/>
    </w:p>
    <w:p w14:paraId="5888BC13" w14:textId="20037D1F" w:rsidR="006D306C" w:rsidRPr="00340EE8" w:rsidRDefault="006D306C" w:rsidP="00FE1C38">
      <w:pPr>
        <w:jc w:val="both"/>
        <w:rPr>
          <w:rFonts w:cstheme="minorHAnsi"/>
          <w:sz w:val="22"/>
          <w:szCs w:val="22"/>
        </w:rPr>
      </w:pPr>
      <w:r w:rsidRPr="00340EE8">
        <w:rPr>
          <w:rFonts w:cstheme="minorHAnsi"/>
          <w:sz w:val="22"/>
          <w:szCs w:val="22"/>
        </w:rPr>
        <w:t>RHP funds may be used for activities under 24 CFR 570.201(c) or section 105(a)(2) of the HCD Act (42 USC 5305(a)(2)) only for the purpose of providing stable, temporary housing for individuals in recovery from a substance use disorder in accordance with Section 8071 and this notice.</w:t>
      </w:r>
    </w:p>
    <w:p w14:paraId="2AB381B2" w14:textId="2236E16B" w:rsidR="00B759FC" w:rsidRPr="00340EE8" w:rsidRDefault="006D306C" w:rsidP="0079443E">
      <w:pPr>
        <w:pStyle w:val="Heading3"/>
        <w:jc w:val="both"/>
        <w:rPr>
          <w:rFonts w:cstheme="minorHAnsi"/>
        </w:rPr>
      </w:pPr>
      <w:bookmarkStart w:id="17" w:name="_Toc104210902"/>
      <w:r w:rsidRPr="00340EE8">
        <w:rPr>
          <w:rFonts w:cstheme="minorHAnsi"/>
        </w:rPr>
        <w:t>Acquisition of Real Property</w:t>
      </w:r>
      <w:bookmarkEnd w:id="17"/>
    </w:p>
    <w:p w14:paraId="10A41C0B" w14:textId="3BD30D56" w:rsidR="006D306C" w:rsidRPr="00340EE8" w:rsidRDefault="006D306C" w:rsidP="00FE1C38">
      <w:pPr>
        <w:jc w:val="both"/>
        <w:rPr>
          <w:rFonts w:cstheme="minorHAnsi"/>
          <w:sz w:val="22"/>
          <w:szCs w:val="22"/>
        </w:rPr>
      </w:pPr>
      <w:r w:rsidRPr="00340EE8">
        <w:rPr>
          <w:rFonts w:cstheme="minorHAnsi"/>
          <w:sz w:val="22"/>
          <w:szCs w:val="22"/>
        </w:rPr>
        <w:t>RHP funds may be used for acquisition under 24 CFR 570.201(a) or section 105(a)(1) of the HCD Act (42 USC 5305(a)(1)) for the purpose of providing stable, temporary housing to persons in recovery from a substance use disorder. For example, a nonprofit could purchase a residential property for the purpose of providing stable, temporary housing for individuals in recovery from a substance use disorder in accordance with Section 8071 and this notice.</w:t>
      </w:r>
    </w:p>
    <w:p w14:paraId="563DC806" w14:textId="77777777" w:rsidR="00B759FC" w:rsidRPr="00340EE8" w:rsidRDefault="006D306C" w:rsidP="0079443E">
      <w:pPr>
        <w:pStyle w:val="Heading3"/>
        <w:jc w:val="both"/>
        <w:rPr>
          <w:rFonts w:cstheme="minorHAnsi"/>
        </w:rPr>
      </w:pPr>
      <w:bookmarkStart w:id="18" w:name="_Toc104210903"/>
      <w:r w:rsidRPr="00340EE8">
        <w:rPr>
          <w:rFonts w:cstheme="minorHAnsi"/>
        </w:rPr>
        <w:t>Lease, rent, and utilities</w:t>
      </w:r>
      <w:bookmarkEnd w:id="18"/>
    </w:p>
    <w:p w14:paraId="02D47E22" w14:textId="0E868E0F" w:rsidR="006D306C" w:rsidRPr="00340EE8" w:rsidRDefault="006D306C" w:rsidP="00FE1C38">
      <w:pPr>
        <w:jc w:val="both"/>
        <w:rPr>
          <w:rFonts w:cstheme="minorHAnsi"/>
          <w:sz w:val="22"/>
          <w:szCs w:val="22"/>
        </w:rPr>
      </w:pPr>
      <w:r w:rsidRPr="00340EE8">
        <w:rPr>
          <w:rFonts w:cstheme="minorHAnsi"/>
          <w:sz w:val="22"/>
          <w:szCs w:val="22"/>
        </w:rPr>
        <w:t xml:space="preserve">HUD is waiving and modifying 42 U.S.C. 5305(a)(8), 24 CFR 570.207(b)(4), 24 CFR 570.201(e), and 24 CFR 570.482(c)(2) to the extent necessary to permit RHP funds to be used to make payments for lease, rent, utilities, and associated costs (e.g. fees), for the purpose of providing stable, temporary housing, on behalf of an individual in recovery from a substance use disorder in accordance with Section 8071 and this notice. Under this waiver and alternative requirement, such payments are not limited to 15 percent of the RHP grant, and individual may be assisted for up to 2 years or until the assisted individual </w:t>
      </w:r>
      <w:proofErr w:type="gramStart"/>
      <w:r w:rsidRPr="00340EE8">
        <w:rPr>
          <w:rFonts w:cstheme="minorHAnsi"/>
          <w:sz w:val="22"/>
          <w:szCs w:val="22"/>
        </w:rPr>
        <w:t>find</w:t>
      </w:r>
      <w:proofErr w:type="gramEnd"/>
      <w:r w:rsidRPr="00340EE8">
        <w:rPr>
          <w:rFonts w:cstheme="minorHAnsi"/>
          <w:sz w:val="22"/>
          <w:szCs w:val="22"/>
        </w:rPr>
        <w:t xml:space="preserve"> permanent housing, whichever is earlier</w:t>
      </w:r>
      <w:r w:rsidR="00ED30E1" w:rsidRPr="00340EE8">
        <w:rPr>
          <w:rFonts w:cstheme="minorHAnsi"/>
          <w:sz w:val="22"/>
          <w:szCs w:val="22"/>
        </w:rPr>
        <w:t xml:space="preserve">. </w:t>
      </w:r>
      <w:r w:rsidRPr="00340EE8">
        <w:rPr>
          <w:rFonts w:cstheme="minorHAnsi"/>
          <w:sz w:val="22"/>
          <w:szCs w:val="22"/>
        </w:rPr>
        <w:t xml:space="preserve">These payments may not be made directly to an individual. These payments may not have been previously paid from other sources; and the payments must result in either a new service and/or a quantifiable increase in the level of an existing service above that which has been provided in the </w:t>
      </w:r>
      <w:r w:rsidR="005C5705" w:rsidRPr="00340EE8">
        <w:rPr>
          <w:rFonts w:cstheme="minorHAnsi"/>
          <w:sz w:val="22"/>
          <w:szCs w:val="22"/>
        </w:rPr>
        <w:t>twelve</w:t>
      </w:r>
      <w:r w:rsidRPr="00340EE8">
        <w:rPr>
          <w:rFonts w:cstheme="minorHAnsi"/>
          <w:sz w:val="22"/>
          <w:szCs w:val="22"/>
        </w:rPr>
        <w:t xml:space="preserve"> calendar months prior to approval of the RHP Action Plan. For example, a subrecipient currently operating a recovery group home may use RHP funds to rent an additional house and increase the number of persons served. In which case, the rent and utility costs of the additional house may be paid with RHP funds; however, the rent and utilities of the original house would not be an eligible cost under the RHP program. In this example, an individual may only stay in the temporary housing assisted by RHP for a period of up to 2 years or until the individual finds permanent housing, whichever is earlier.</w:t>
      </w:r>
    </w:p>
    <w:p w14:paraId="463E20D1" w14:textId="77777777" w:rsidR="00B759FC" w:rsidRPr="00340EE8" w:rsidRDefault="006D306C" w:rsidP="0079443E">
      <w:pPr>
        <w:pStyle w:val="Heading3"/>
        <w:jc w:val="both"/>
        <w:rPr>
          <w:rFonts w:cstheme="minorHAnsi"/>
        </w:rPr>
      </w:pPr>
      <w:bookmarkStart w:id="19" w:name="_Toc104210904"/>
      <w:r w:rsidRPr="00340EE8">
        <w:rPr>
          <w:rFonts w:cstheme="minorHAnsi"/>
        </w:rPr>
        <w:t>Rehabilitation and Reconstruction of Single-Unit Residential</w:t>
      </w:r>
      <w:bookmarkEnd w:id="19"/>
    </w:p>
    <w:p w14:paraId="2CF7914E" w14:textId="5E5A38B3" w:rsidR="006D306C" w:rsidRPr="00340EE8" w:rsidRDefault="006D306C" w:rsidP="00FE1C38">
      <w:pPr>
        <w:jc w:val="both"/>
        <w:rPr>
          <w:rFonts w:cstheme="minorHAnsi"/>
          <w:sz w:val="22"/>
          <w:szCs w:val="22"/>
        </w:rPr>
      </w:pPr>
      <w:r w:rsidRPr="00340EE8">
        <w:rPr>
          <w:rFonts w:cstheme="minorHAnsi"/>
          <w:sz w:val="22"/>
          <w:szCs w:val="22"/>
        </w:rPr>
        <w:t xml:space="preserve">RHP funds may be used for rehabilitation or reconstruction of publicly- or privately-owned single-unit residential buildings and improvements eligible under 24 CFR 570.202(a)(1) or section 105(a)(4) of the </w:t>
      </w:r>
      <w:r w:rsidRPr="00340EE8">
        <w:rPr>
          <w:rFonts w:cstheme="minorHAnsi"/>
          <w:sz w:val="22"/>
          <w:szCs w:val="22"/>
        </w:rPr>
        <w:lastRenderedPageBreak/>
        <w:t>HCD Act (42 USC 5305(a)(4)) for the purpose of providing stable, temporary housing for individuals in recovery from a substance use disorder in accordance with Section 8071 and this notice.</w:t>
      </w:r>
    </w:p>
    <w:p w14:paraId="1B60E9CF" w14:textId="77777777" w:rsidR="00B759FC" w:rsidRPr="00340EE8" w:rsidRDefault="006D306C" w:rsidP="0079443E">
      <w:pPr>
        <w:pStyle w:val="Heading3"/>
        <w:jc w:val="both"/>
        <w:rPr>
          <w:rFonts w:cstheme="minorHAnsi"/>
        </w:rPr>
      </w:pPr>
      <w:bookmarkStart w:id="20" w:name="_Toc104210905"/>
      <w:r w:rsidRPr="00340EE8">
        <w:rPr>
          <w:rFonts w:cstheme="minorHAnsi"/>
        </w:rPr>
        <w:t>Rehabilitation and Reconstruction of Multi-Unit Residential</w:t>
      </w:r>
      <w:bookmarkEnd w:id="20"/>
    </w:p>
    <w:p w14:paraId="786B7352" w14:textId="273B2A89" w:rsidR="00340EE8" w:rsidRPr="00340EE8" w:rsidRDefault="006D306C" w:rsidP="00FE1C38">
      <w:pPr>
        <w:jc w:val="both"/>
        <w:rPr>
          <w:rFonts w:cstheme="minorHAnsi"/>
          <w:sz w:val="22"/>
          <w:szCs w:val="22"/>
        </w:rPr>
      </w:pPr>
      <w:r w:rsidRPr="00340EE8">
        <w:rPr>
          <w:rFonts w:cstheme="minorHAnsi"/>
          <w:sz w:val="22"/>
          <w:szCs w:val="22"/>
        </w:rPr>
        <w:t>RHP funds may be used for rehabilitation or reconstruction of publicly- or privately-owned buildings and improvements with two or more permanent residential units that otherwise comply with 24 CFR 570.202(a) and section 105(a)(4) of the HCD Act (42 USC 5305(a)(4)) for the purpose of providing stable, temporary housing for individuals in recovery from a substance use disorder in accordance with Section 8071 and this notice.</w:t>
      </w:r>
    </w:p>
    <w:p w14:paraId="58F4C28B" w14:textId="77777777" w:rsidR="00B759FC" w:rsidRPr="00340EE8" w:rsidRDefault="006D306C" w:rsidP="0079443E">
      <w:pPr>
        <w:pStyle w:val="Heading3"/>
        <w:jc w:val="both"/>
        <w:rPr>
          <w:rFonts w:cstheme="minorHAnsi"/>
        </w:rPr>
      </w:pPr>
      <w:bookmarkStart w:id="21" w:name="_Toc104210906"/>
      <w:r w:rsidRPr="00340EE8">
        <w:rPr>
          <w:rFonts w:cstheme="minorHAnsi"/>
        </w:rPr>
        <w:t>Rehabilitation and Reconstruction of Public Housing</w:t>
      </w:r>
      <w:bookmarkEnd w:id="21"/>
    </w:p>
    <w:p w14:paraId="2F08FB9F" w14:textId="3FE1EAAD" w:rsidR="006D306C" w:rsidRPr="00340EE8" w:rsidRDefault="006D306C" w:rsidP="00FE1C38">
      <w:pPr>
        <w:jc w:val="both"/>
        <w:rPr>
          <w:rFonts w:cstheme="minorHAnsi"/>
          <w:sz w:val="22"/>
          <w:szCs w:val="22"/>
        </w:rPr>
      </w:pPr>
      <w:r w:rsidRPr="00340EE8">
        <w:rPr>
          <w:rFonts w:cstheme="minorHAnsi"/>
          <w:sz w:val="22"/>
          <w:szCs w:val="22"/>
        </w:rPr>
        <w:t>RHP funds may be used for rehabilitation or reconstruction of buildings and improvements owned and operated by a public housing authority to the extent eligible under 24 CFR 570.202(a)(2) and section 105(a)(4) of the HCD Act (42 USC 5305(a)(4)), for the purpose of providing stable, temporary housing for individuals in recovery from a substance use disorder in accordance with Section 8071 and this notice.</w:t>
      </w:r>
    </w:p>
    <w:p w14:paraId="58FF95B5" w14:textId="77777777" w:rsidR="00B759FC" w:rsidRPr="00340EE8" w:rsidRDefault="006D306C" w:rsidP="0079443E">
      <w:pPr>
        <w:pStyle w:val="Heading3"/>
        <w:jc w:val="both"/>
        <w:rPr>
          <w:rFonts w:cstheme="minorHAnsi"/>
        </w:rPr>
      </w:pPr>
      <w:bookmarkStart w:id="22" w:name="_Toc104210907"/>
      <w:r w:rsidRPr="00340EE8">
        <w:rPr>
          <w:rFonts w:cstheme="minorHAnsi"/>
        </w:rPr>
        <w:t>Disposition of Real Property</w:t>
      </w:r>
      <w:bookmarkEnd w:id="22"/>
    </w:p>
    <w:p w14:paraId="06A9C1A1" w14:textId="43637155" w:rsidR="006D306C" w:rsidRPr="00340EE8" w:rsidRDefault="006D306C" w:rsidP="00FE1C38">
      <w:pPr>
        <w:jc w:val="both"/>
        <w:rPr>
          <w:rFonts w:cstheme="minorHAnsi"/>
          <w:sz w:val="22"/>
          <w:szCs w:val="22"/>
        </w:rPr>
      </w:pPr>
      <w:r w:rsidRPr="00340EE8">
        <w:rPr>
          <w:rFonts w:cstheme="minorHAnsi"/>
          <w:sz w:val="22"/>
          <w:szCs w:val="22"/>
        </w:rPr>
        <w:t>RHP funds may be used for disposition through sale, lease, or donation, or otherwise of real property acquired with RHP funds subject to 24 CFR 570.201(b) and section 105(a)(7) of the HCD Act (42 USC 5305(a)(7)), for the purpose of providing stable, temporary housing for individuals in recovery from a substance use disorder in accordance with Section 8071 and this notice. Eligible costs may include costs incidental to disposing of the property, such as preparation of legal documents, fees paid for surveys, transfer taxes, and other costs involved in the transfer of ownership of the RHP-assisted property.</w:t>
      </w:r>
    </w:p>
    <w:p w14:paraId="4EB81A6A" w14:textId="77777777" w:rsidR="008020A2" w:rsidRPr="00340EE8" w:rsidRDefault="006D306C" w:rsidP="0079443E">
      <w:pPr>
        <w:pStyle w:val="Heading3"/>
        <w:jc w:val="both"/>
        <w:rPr>
          <w:rFonts w:cstheme="minorHAnsi"/>
        </w:rPr>
      </w:pPr>
      <w:bookmarkStart w:id="23" w:name="_Toc104210908"/>
      <w:r w:rsidRPr="00340EE8">
        <w:rPr>
          <w:rFonts w:cstheme="minorHAnsi"/>
        </w:rPr>
        <w:t>Clearance and Demolition</w:t>
      </w:r>
      <w:bookmarkEnd w:id="23"/>
    </w:p>
    <w:p w14:paraId="3976002D" w14:textId="07DA3F22" w:rsidR="006D306C" w:rsidRPr="00340EE8" w:rsidRDefault="006D306C" w:rsidP="00FE1C38">
      <w:pPr>
        <w:jc w:val="both"/>
        <w:rPr>
          <w:rFonts w:cstheme="minorHAnsi"/>
        </w:rPr>
      </w:pPr>
      <w:r w:rsidRPr="00340EE8">
        <w:rPr>
          <w:rFonts w:cstheme="minorHAnsi"/>
          <w:sz w:val="22"/>
          <w:szCs w:val="22"/>
        </w:rPr>
        <w:t>RHP funds may be used for clearance, demolition, and removal of buildings and improvements, including movement of structures to other sites to the extent eligible under 24 CFR 570.201(d) or section 105(a)(4) of the HCD Act (42 USC 5305(a)(4)) for the purpose of providing stable, temporary housing for individuals in recovery from a substance use disorder in accordance with Section 8071 and this notice. This is limited to projects where RHP funds are used only for the clearance and demolition.</w:t>
      </w:r>
    </w:p>
    <w:p w14:paraId="2162A7FD" w14:textId="77777777" w:rsidR="008020A2" w:rsidRPr="00340EE8" w:rsidRDefault="006D306C" w:rsidP="0079443E">
      <w:pPr>
        <w:pStyle w:val="Heading3"/>
        <w:jc w:val="both"/>
        <w:rPr>
          <w:rFonts w:cstheme="minorHAnsi"/>
        </w:rPr>
      </w:pPr>
      <w:bookmarkStart w:id="24" w:name="_Toc104210909"/>
      <w:r w:rsidRPr="00340EE8">
        <w:rPr>
          <w:rFonts w:cstheme="minorHAnsi"/>
        </w:rPr>
        <w:t>Relocation</w:t>
      </w:r>
      <w:bookmarkEnd w:id="24"/>
    </w:p>
    <w:p w14:paraId="7EF18B25" w14:textId="60D35499" w:rsidR="006D306C" w:rsidRPr="00340EE8" w:rsidRDefault="006D306C" w:rsidP="00FE1C38">
      <w:pPr>
        <w:jc w:val="both"/>
        <w:rPr>
          <w:rFonts w:cstheme="minorHAnsi"/>
          <w:sz w:val="22"/>
          <w:szCs w:val="22"/>
        </w:rPr>
      </w:pPr>
      <w:r w:rsidRPr="00340EE8">
        <w:rPr>
          <w:rFonts w:cstheme="minorHAnsi"/>
          <w:sz w:val="22"/>
          <w:szCs w:val="22"/>
        </w:rPr>
        <w:t>RHP funds may be used for relocation payments and other assistance for permanently or temporarily displaced individuals and families in connection with activities using RHP funds, to the extent eligible under 24 CFR 570.201(</w:t>
      </w:r>
      <w:proofErr w:type="spellStart"/>
      <w:r w:rsidRPr="00340EE8">
        <w:rPr>
          <w:rFonts w:cstheme="minorHAnsi"/>
          <w:sz w:val="22"/>
          <w:szCs w:val="22"/>
        </w:rPr>
        <w:t>i</w:t>
      </w:r>
      <w:proofErr w:type="spellEnd"/>
      <w:r w:rsidRPr="00340EE8">
        <w:rPr>
          <w:rFonts w:cstheme="minorHAnsi"/>
          <w:sz w:val="22"/>
          <w:szCs w:val="22"/>
        </w:rPr>
        <w:t>) and section 105(a)(11) of the HCD Act (42 USC 5305(a)(11)).</w:t>
      </w:r>
    </w:p>
    <w:p w14:paraId="25BDCEE2" w14:textId="77777777" w:rsidR="008020A2" w:rsidRPr="00340EE8" w:rsidRDefault="006D306C" w:rsidP="0079443E">
      <w:pPr>
        <w:pStyle w:val="Heading3"/>
        <w:jc w:val="both"/>
        <w:rPr>
          <w:rFonts w:cstheme="minorHAnsi"/>
        </w:rPr>
      </w:pPr>
      <w:bookmarkStart w:id="25" w:name="_Toc104210910"/>
      <w:r w:rsidRPr="00340EE8">
        <w:rPr>
          <w:rFonts w:cstheme="minorHAnsi"/>
        </w:rPr>
        <w:t>Expansion of existing eligible activities to include new construction</w:t>
      </w:r>
      <w:bookmarkEnd w:id="25"/>
    </w:p>
    <w:p w14:paraId="4BA8D325" w14:textId="5B2BC662" w:rsidR="00340EE8" w:rsidRPr="00340EE8" w:rsidRDefault="006D306C" w:rsidP="0079443E">
      <w:pPr>
        <w:jc w:val="both"/>
        <w:rPr>
          <w:rFonts w:cstheme="minorHAnsi"/>
          <w:sz w:val="22"/>
          <w:szCs w:val="22"/>
        </w:rPr>
      </w:pPr>
      <w:r w:rsidRPr="00340EE8">
        <w:rPr>
          <w:rFonts w:cstheme="minorHAnsi"/>
          <w:sz w:val="22"/>
          <w:szCs w:val="22"/>
        </w:rPr>
        <w:t xml:space="preserve">RHP funds can be used for new construction of housing, to the extent the newly constructed housing shall be used for the purpose of providing stable, temporary housing for individuals in recovery from a </w:t>
      </w:r>
      <w:r w:rsidRPr="00340EE8">
        <w:rPr>
          <w:rFonts w:cstheme="minorHAnsi"/>
          <w:sz w:val="22"/>
          <w:szCs w:val="22"/>
        </w:rPr>
        <w:lastRenderedPageBreak/>
        <w:t>substance use disorder in accordance with Section 8071 and this notice. HUD is waiving 42 USC 5305(a) and 24 CFR 570.207(b)(3) and adopting alternative requirements to the extent necessary to permit new construction of housing, subject to the same requirements that apply to rehabilitation activities under the provisions at section 105(a)(4) of the HCD Act (42 USC 5305(a)(4)) and 24 CFR 570.202(b).</w:t>
      </w:r>
    </w:p>
    <w:p w14:paraId="017C3143" w14:textId="255E2387" w:rsidR="006D306C" w:rsidRPr="00340EE8" w:rsidRDefault="006D306C" w:rsidP="0079443E">
      <w:pPr>
        <w:pStyle w:val="Heading2"/>
        <w:jc w:val="both"/>
        <w:rPr>
          <w:rFonts w:cstheme="minorHAnsi"/>
        </w:rPr>
      </w:pPr>
      <w:bookmarkStart w:id="26" w:name="_Toc104210911"/>
      <w:bookmarkStart w:id="27" w:name="_Toc117606377"/>
      <w:r w:rsidRPr="00340EE8">
        <w:rPr>
          <w:rFonts w:cstheme="minorHAnsi"/>
        </w:rPr>
        <w:t>Method of Distribution</w:t>
      </w:r>
      <w:bookmarkEnd w:id="26"/>
      <w:bookmarkEnd w:id="27"/>
    </w:p>
    <w:p w14:paraId="665E9CFD" w14:textId="77777777" w:rsidR="00D42430" w:rsidRPr="00340EE8" w:rsidRDefault="00D42430" w:rsidP="00FE1C38">
      <w:pPr>
        <w:jc w:val="both"/>
        <w:rPr>
          <w:rFonts w:cstheme="minorHAnsi"/>
          <w:sz w:val="22"/>
          <w:szCs w:val="22"/>
        </w:rPr>
      </w:pPr>
      <w:r w:rsidRPr="00340EE8">
        <w:rPr>
          <w:rFonts w:cstheme="minorHAnsi"/>
          <w:sz w:val="22"/>
          <w:szCs w:val="22"/>
        </w:rPr>
        <w:t>MFA will solicit qualitative and quantitative information from applicants to demonstrate a need for the project being proposed for RHP funding. MFA will consider both the projected demand for the proposed temporary recovery housing units and the financial need for assistance.</w:t>
      </w:r>
    </w:p>
    <w:p w14:paraId="0F3A7925" w14:textId="030980DF" w:rsidR="00EF4C7B" w:rsidRDefault="006D306C" w:rsidP="00FE1C38">
      <w:pPr>
        <w:jc w:val="both"/>
        <w:rPr>
          <w:rFonts w:cstheme="minorHAnsi"/>
          <w:sz w:val="22"/>
          <w:szCs w:val="22"/>
        </w:rPr>
      </w:pPr>
      <w:r w:rsidRPr="00340EE8">
        <w:rPr>
          <w:rFonts w:cstheme="minorHAnsi"/>
          <w:sz w:val="22"/>
          <w:szCs w:val="22"/>
        </w:rPr>
        <w:t xml:space="preserve">MFA will distribute one </w:t>
      </w:r>
      <w:r w:rsidR="00471A05" w:rsidRPr="00340EE8">
        <w:rPr>
          <w:rFonts w:cstheme="minorHAnsi"/>
          <w:sz w:val="22"/>
          <w:szCs w:val="22"/>
        </w:rPr>
        <w:t>hundred</w:t>
      </w:r>
      <w:r w:rsidRPr="00340EE8">
        <w:rPr>
          <w:rFonts w:cstheme="minorHAnsi"/>
          <w:sz w:val="22"/>
          <w:szCs w:val="22"/>
        </w:rPr>
        <w:t xml:space="preserve"> percent (100%) of the FY2020</w:t>
      </w:r>
      <w:r w:rsidR="002E2D0B" w:rsidRPr="00340EE8">
        <w:rPr>
          <w:rFonts w:cstheme="minorHAnsi"/>
          <w:sz w:val="22"/>
          <w:szCs w:val="22"/>
        </w:rPr>
        <w:t xml:space="preserve">, </w:t>
      </w:r>
      <w:r w:rsidRPr="00340EE8">
        <w:rPr>
          <w:rFonts w:cstheme="minorHAnsi"/>
          <w:sz w:val="22"/>
          <w:szCs w:val="22"/>
        </w:rPr>
        <w:t>FY2021</w:t>
      </w:r>
      <w:r w:rsidR="002E2D0B" w:rsidRPr="00340EE8">
        <w:rPr>
          <w:rFonts w:cstheme="minorHAnsi"/>
          <w:sz w:val="22"/>
          <w:szCs w:val="22"/>
        </w:rPr>
        <w:t>, and FY2022</w:t>
      </w:r>
      <w:r w:rsidRPr="00340EE8">
        <w:rPr>
          <w:rFonts w:cstheme="minorHAnsi"/>
          <w:sz w:val="22"/>
          <w:szCs w:val="22"/>
        </w:rPr>
        <w:t xml:space="preserve"> awards of recovery housing funds for the purpose of </w:t>
      </w:r>
      <w:r w:rsidR="00471A05" w:rsidRPr="00340EE8">
        <w:rPr>
          <w:rFonts w:cstheme="minorHAnsi"/>
          <w:sz w:val="22"/>
          <w:szCs w:val="22"/>
        </w:rPr>
        <w:t>use</w:t>
      </w:r>
      <w:r w:rsidRPr="00340EE8">
        <w:rPr>
          <w:rFonts w:cstheme="minorHAnsi"/>
          <w:sz w:val="22"/>
          <w:szCs w:val="22"/>
        </w:rPr>
        <w:t xml:space="preserve"> on eligible activities less eligible administrative costs, to eligible awardees through a</w:t>
      </w:r>
      <w:r w:rsidR="00471A05" w:rsidRPr="00340EE8">
        <w:rPr>
          <w:rFonts w:cstheme="minorHAnsi"/>
          <w:sz w:val="22"/>
          <w:szCs w:val="22"/>
        </w:rPr>
        <w:t xml:space="preserve"> Notice of Funds Available (NOFA)</w:t>
      </w:r>
      <w:r w:rsidRPr="00340EE8">
        <w:rPr>
          <w:rFonts w:cstheme="minorHAnsi"/>
          <w:sz w:val="22"/>
          <w:szCs w:val="22"/>
        </w:rPr>
        <w:t xml:space="preserve"> process</w:t>
      </w:r>
      <w:r w:rsidR="00340EE8" w:rsidRPr="00340EE8">
        <w:rPr>
          <w:rFonts w:cstheme="minorHAnsi"/>
          <w:sz w:val="22"/>
          <w:szCs w:val="22"/>
        </w:rPr>
        <w:t>.</w:t>
      </w:r>
    </w:p>
    <w:p w14:paraId="08CEEA5A" w14:textId="761E1F12" w:rsidR="00D42430" w:rsidRDefault="00D42430" w:rsidP="00FE1C38">
      <w:pPr>
        <w:jc w:val="both"/>
        <w:rPr>
          <w:rFonts w:cstheme="minorHAnsi"/>
          <w:sz w:val="22"/>
          <w:szCs w:val="22"/>
        </w:rPr>
      </w:pPr>
      <w:r w:rsidRPr="00D42430">
        <w:rPr>
          <w:rFonts w:cstheme="minorHAnsi"/>
          <w:sz w:val="22"/>
          <w:szCs w:val="22"/>
        </w:rPr>
        <w:t>Applications that meet the Minimum Qualifications and Requirements eligibility criteria will be evaluated by an internal review committee of MFA staff using the scoring criteria as described in the Recovery Housing Program NOFA.  The review committee will present award recommendations to MFA management and MFA’s Board as required under MFA’s Delegations of Authority.  Final selection will be approved by MFA’s Board of Directors at the regularly scheduled monthly meeting.</w:t>
      </w:r>
    </w:p>
    <w:p w14:paraId="7C9AF8A9" w14:textId="1043389E" w:rsidR="00D42430" w:rsidRPr="00D42430" w:rsidRDefault="00D42430" w:rsidP="00FE1C38">
      <w:pPr>
        <w:jc w:val="both"/>
        <w:rPr>
          <w:rFonts w:cstheme="minorHAnsi"/>
          <w:sz w:val="22"/>
          <w:szCs w:val="22"/>
        </w:rPr>
      </w:pPr>
      <w:r>
        <w:rPr>
          <w:sz w:val="22"/>
          <w:szCs w:val="22"/>
        </w:rPr>
        <w:t>MFA does not guarantee and is not obligated to make an award. Awards will be based on availability of funds, Offeror’s demonstrated need, Offeror’s score on the scoring criteria and for any of the other reasons set forth herein.</w:t>
      </w:r>
    </w:p>
    <w:p w14:paraId="6529B7F1" w14:textId="01BB05DF" w:rsidR="006D306C" w:rsidRPr="00340EE8" w:rsidRDefault="006D306C" w:rsidP="0079443E">
      <w:pPr>
        <w:pStyle w:val="Heading2"/>
        <w:jc w:val="both"/>
        <w:rPr>
          <w:rFonts w:cstheme="minorHAnsi"/>
        </w:rPr>
      </w:pPr>
      <w:bookmarkStart w:id="28" w:name="_Toc104210912"/>
      <w:bookmarkStart w:id="29" w:name="_Toc117606378"/>
      <w:r w:rsidRPr="00340EE8">
        <w:rPr>
          <w:rFonts w:cstheme="minorHAnsi"/>
        </w:rPr>
        <w:t>Activities Carried Out Directly</w:t>
      </w:r>
      <w:bookmarkEnd w:id="28"/>
      <w:bookmarkEnd w:id="29"/>
    </w:p>
    <w:p w14:paraId="1FE29D64" w14:textId="52EB01E6" w:rsidR="00EF4C7B" w:rsidRPr="0079443E" w:rsidRDefault="00EF4C7B" w:rsidP="00FE1C38">
      <w:pPr>
        <w:jc w:val="both"/>
        <w:rPr>
          <w:rFonts w:cstheme="minorHAnsi"/>
          <w:sz w:val="22"/>
          <w:szCs w:val="22"/>
        </w:rPr>
      </w:pPr>
      <w:r w:rsidRPr="0079443E">
        <w:rPr>
          <w:rFonts w:cstheme="minorHAnsi"/>
          <w:sz w:val="22"/>
          <w:szCs w:val="22"/>
        </w:rPr>
        <w:t xml:space="preserve">The Department of Finance and Administration – Local Government Division (DFA-LGD) is providing authorization to the New Mexico Mortgage Finance </w:t>
      </w:r>
      <w:r w:rsidR="00D839EB" w:rsidRPr="0079443E">
        <w:rPr>
          <w:rFonts w:cstheme="minorHAnsi"/>
          <w:sz w:val="22"/>
          <w:szCs w:val="22"/>
        </w:rPr>
        <w:t>Authority</w:t>
      </w:r>
      <w:r w:rsidRPr="0079443E">
        <w:rPr>
          <w:rFonts w:cstheme="minorHAnsi"/>
          <w:sz w:val="22"/>
          <w:szCs w:val="22"/>
        </w:rPr>
        <w:t xml:space="preserve"> (MFA) to administer 100% of New Mexico’s RHP allocation for FY2020, FY2021, and FY 2022.</w:t>
      </w:r>
    </w:p>
    <w:p w14:paraId="65B670D1" w14:textId="0C935BE2" w:rsidR="00914F81" w:rsidRDefault="006D306C" w:rsidP="00FE1C38">
      <w:pPr>
        <w:jc w:val="both"/>
        <w:rPr>
          <w:rFonts w:cstheme="minorHAnsi"/>
          <w:sz w:val="22"/>
          <w:szCs w:val="22"/>
        </w:rPr>
      </w:pPr>
      <w:r w:rsidRPr="00340EE8">
        <w:rPr>
          <w:rFonts w:cstheme="minorHAnsi"/>
          <w:sz w:val="22"/>
          <w:szCs w:val="22"/>
        </w:rPr>
        <w:t xml:space="preserve">Agencies awarded RHP funds will be required to place a Land Use Restriction Agreement (LURA) on each project and/or property purchased with RHP funds for a minimum of </w:t>
      </w:r>
      <w:r w:rsidR="00C85E3F" w:rsidRPr="00340EE8">
        <w:rPr>
          <w:rFonts w:cstheme="minorHAnsi"/>
          <w:sz w:val="22"/>
          <w:szCs w:val="22"/>
        </w:rPr>
        <w:t>30</w:t>
      </w:r>
      <w:r w:rsidRPr="00340EE8">
        <w:rPr>
          <w:rFonts w:cstheme="minorHAnsi"/>
          <w:sz w:val="22"/>
          <w:szCs w:val="22"/>
        </w:rPr>
        <w:t xml:space="preserve"> years. MFA may require an additional term after the compliance period based on the </w:t>
      </w:r>
      <w:proofErr w:type="gramStart"/>
      <w:r w:rsidRPr="00340EE8">
        <w:rPr>
          <w:rFonts w:cstheme="minorHAnsi"/>
          <w:sz w:val="22"/>
          <w:szCs w:val="22"/>
        </w:rPr>
        <w:t>amount of</w:t>
      </w:r>
      <w:proofErr w:type="gramEnd"/>
      <w:r w:rsidRPr="00340EE8">
        <w:rPr>
          <w:rFonts w:cstheme="minorHAnsi"/>
          <w:sz w:val="22"/>
          <w:szCs w:val="22"/>
        </w:rPr>
        <w:t xml:space="preserve"> awarded.</w:t>
      </w:r>
      <w:bookmarkStart w:id="30" w:name="_Toc104210913"/>
    </w:p>
    <w:p w14:paraId="39BB8116" w14:textId="66A37496" w:rsidR="00FE1C38" w:rsidRPr="0079443E" w:rsidRDefault="00EF4C7B" w:rsidP="00FE1C38">
      <w:pPr>
        <w:jc w:val="both"/>
        <w:rPr>
          <w:rFonts w:cstheme="minorHAnsi"/>
          <w:sz w:val="22"/>
          <w:szCs w:val="22"/>
        </w:rPr>
      </w:pPr>
      <w:r w:rsidRPr="0079443E">
        <w:rPr>
          <w:rFonts w:cstheme="minorHAnsi"/>
          <w:sz w:val="22"/>
          <w:szCs w:val="22"/>
        </w:rPr>
        <w:t>MFA will use up to five percent (5%) of the total RHP allocation for administrative costs incurred by MFA. The remaining funds will be distributed to eligible awardees for use on eligible activities.</w:t>
      </w:r>
    </w:p>
    <w:tbl>
      <w:tblPr>
        <w:tblStyle w:val="PlainTable5"/>
        <w:tblpPr w:leftFromText="180" w:rightFromText="180" w:vertAnchor="text" w:horzAnchor="margin" w:tblpXSpec="center" w:tblpY="138"/>
        <w:tblW w:w="0" w:type="auto"/>
        <w:tblLayout w:type="fixed"/>
        <w:tblLook w:val="01E0" w:firstRow="1" w:lastRow="1" w:firstColumn="1" w:lastColumn="1" w:noHBand="0" w:noVBand="0"/>
      </w:tblPr>
      <w:tblGrid>
        <w:gridCol w:w="2610"/>
        <w:gridCol w:w="1800"/>
        <w:gridCol w:w="1080"/>
        <w:gridCol w:w="1530"/>
        <w:gridCol w:w="1260"/>
      </w:tblGrid>
      <w:tr w:rsidR="00EF4C7B" w:rsidRPr="00340EE8" w14:paraId="1F617E72" w14:textId="77777777" w:rsidTr="00EF4C7B">
        <w:trPr>
          <w:cnfStyle w:val="100000000000" w:firstRow="1" w:lastRow="0" w:firstColumn="0" w:lastColumn="0" w:oddVBand="0" w:evenVBand="0" w:oddHBand="0" w:evenHBand="0" w:firstRowFirstColumn="0" w:firstRowLastColumn="0" w:lastRowFirstColumn="0" w:lastRowLastColumn="0"/>
          <w:trHeight w:val="360"/>
        </w:trPr>
        <w:tc>
          <w:tcPr>
            <w:cnfStyle w:val="001000000100" w:firstRow="0" w:lastRow="0" w:firstColumn="1" w:lastColumn="0" w:oddVBand="0" w:evenVBand="0" w:oddHBand="0" w:evenHBand="0" w:firstRowFirstColumn="1" w:firstRowLastColumn="0" w:lastRowFirstColumn="0" w:lastRowLastColumn="0"/>
            <w:tcW w:w="2610" w:type="dxa"/>
            <w:tcBorders>
              <w:bottom w:val="single" w:sz="4" w:space="0" w:color="auto"/>
              <w:right w:val="single" w:sz="4" w:space="0" w:color="auto"/>
            </w:tcBorders>
          </w:tcPr>
          <w:p w14:paraId="63E82F33" w14:textId="77777777" w:rsidR="00EF4C7B" w:rsidRPr="00340EE8" w:rsidRDefault="00EF4C7B" w:rsidP="0079443E">
            <w:pPr>
              <w:pStyle w:val="TableParagraph"/>
              <w:jc w:val="both"/>
              <w:rPr>
                <w:rFonts w:asciiTheme="minorHAnsi" w:hAnsiTheme="minorHAnsi" w:cstheme="minorHAnsi"/>
              </w:rPr>
            </w:pPr>
          </w:p>
        </w:tc>
        <w:tc>
          <w:tcPr>
            <w:cnfStyle w:val="000010000000" w:firstRow="0" w:lastRow="0" w:firstColumn="0" w:lastColumn="0" w:oddVBand="1" w:evenVBand="0" w:oddHBand="0" w:evenHBand="0" w:firstRowFirstColumn="0" w:firstRowLastColumn="0" w:lastRowFirstColumn="0" w:lastRowLastColumn="0"/>
            <w:tcW w:w="1800" w:type="dxa"/>
            <w:tcBorders>
              <w:left w:val="single" w:sz="4" w:space="0" w:color="auto"/>
              <w:bottom w:val="single" w:sz="4" w:space="0" w:color="auto"/>
            </w:tcBorders>
            <w:shd w:val="clear" w:color="auto" w:fill="ACDBEA"/>
            <w:vAlign w:val="center"/>
          </w:tcPr>
          <w:p w14:paraId="5D67A273" w14:textId="77777777" w:rsidR="00EF4C7B" w:rsidRPr="00340EE8" w:rsidRDefault="00EF4C7B" w:rsidP="0079443E">
            <w:pPr>
              <w:pStyle w:val="TableParagraph"/>
              <w:spacing w:line="224" w:lineRule="exact"/>
              <w:ind w:right="774"/>
              <w:jc w:val="both"/>
              <w:rPr>
                <w:rFonts w:asciiTheme="minorHAnsi" w:hAnsiTheme="minorHAnsi" w:cstheme="minorHAnsi"/>
                <w:b/>
                <w:bCs/>
              </w:rPr>
            </w:pPr>
            <w:r w:rsidRPr="00340EE8">
              <w:rPr>
                <w:rFonts w:asciiTheme="minorHAnsi" w:hAnsiTheme="minorHAnsi" w:cstheme="minorHAnsi"/>
                <w:b/>
                <w:bCs/>
                <w:spacing w:val="-2"/>
              </w:rPr>
              <w:t>FY2020</w:t>
            </w:r>
          </w:p>
        </w:tc>
        <w:tc>
          <w:tcPr>
            <w:tcW w:w="1080" w:type="dxa"/>
            <w:tcBorders>
              <w:bottom w:val="single" w:sz="4" w:space="0" w:color="auto"/>
            </w:tcBorders>
            <w:shd w:val="clear" w:color="auto" w:fill="ACDBEA"/>
            <w:vAlign w:val="center"/>
          </w:tcPr>
          <w:p w14:paraId="6BCFF755" w14:textId="77777777" w:rsidR="00EF4C7B" w:rsidRPr="00340EE8" w:rsidRDefault="00EF4C7B" w:rsidP="0079443E">
            <w:pPr>
              <w:pStyle w:val="TableParagraph"/>
              <w:spacing w:line="224" w:lineRule="exact"/>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rPr>
            </w:pPr>
            <w:r w:rsidRPr="00340EE8">
              <w:rPr>
                <w:rFonts w:asciiTheme="minorHAnsi" w:hAnsiTheme="minorHAnsi" w:cstheme="minorHAnsi"/>
                <w:b/>
                <w:bCs/>
                <w:spacing w:val="-2"/>
              </w:rPr>
              <w:t>FY2021</w:t>
            </w:r>
          </w:p>
        </w:tc>
        <w:tc>
          <w:tcPr>
            <w:cnfStyle w:val="000010000000" w:firstRow="0" w:lastRow="0" w:firstColumn="0" w:lastColumn="0" w:oddVBand="1" w:evenVBand="0" w:oddHBand="0" w:evenHBand="0" w:firstRowFirstColumn="0" w:firstRowLastColumn="0" w:lastRowFirstColumn="0" w:lastRowLastColumn="0"/>
            <w:tcW w:w="1530" w:type="dxa"/>
            <w:tcBorders>
              <w:bottom w:val="single" w:sz="4" w:space="0" w:color="auto"/>
              <w:right w:val="single" w:sz="4" w:space="0" w:color="auto"/>
            </w:tcBorders>
            <w:shd w:val="clear" w:color="auto" w:fill="ACDBEA"/>
            <w:vAlign w:val="center"/>
          </w:tcPr>
          <w:p w14:paraId="245064C0" w14:textId="77777777" w:rsidR="00EF4C7B" w:rsidRPr="00340EE8" w:rsidRDefault="00EF4C7B" w:rsidP="0079443E">
            <w:pPr>
              <w:pStyle w:val="TableParagraph"/>
              <w:spacing w:line="224" w:lineRule="exact"/>
              <w:jc w:val="both"/>
              <w:rPr>
                <w:rFonts w:asciiTheme="minorHAnsi" w:hAnsiTheme="minorHAnsi" w:cstheme="minorHAnsi"/>
                <w:b/>
                <w:bCs/>
                <w:spacing w:val="-2"/>
              </w:rPr>
            </w:pPr>
            <w:r w:rsidRPr="00340EE8">
              <w:rPr>
                <w:rFonts w:asciiTheme="minorHAnsi" w:hAnsiTheme="minorHAnsi" w:cstheme="minorHAnsi"/>
                <w:b/>
                <w:bCs/>
                <w:spacing w:val="-2"/>
              </w:rPr>
              <w:t>FY 2022</w:t>
            </w:r>
          </w:p>
        </w:tc>
        <w:tc>
          <w:tcPr>
            <w:cnfStyle w:val="000100001000" w:firstRow="0" w:lastRow="0" w:firstColumn="0" w:lastColumn="1" w:oddVBand="0" w:evenVBand="0" w:oddHBand="0" w:evenHBand="0" w:firstRowFirstColumn="0" w:firstRowLastColumn="1" w:lastRowFirstColumn="0" w:lastRowLastColumn="0"/>
            <w:tcW w:w="1260" w:type="dxa"/>
            <w:tcBorders>
              <w:left w:val="single" w:sz="4" w:space="0" w:color="auto"/>
              <w:bottom w:val="single" w:sz="4" w:space="0" w:color="auto"/>
            </w:tcBorders>
            <w:vAlign w:val="center"/>
          </w:tcPr>
          <w:p w14:paraId="3B35F0BE" w14:textId="77777777" w:rsidR="00EF4C7B" w:rsidRPr="00340EE8" w:rsidRDefault="00EF4C7B" w:rsidP="0079443E">
            <w:pPr>
              <w:pStyle w:val="TableParagraph"/>
              <w:spacing w:line="224" w:lineRule="exact"/>
              <w:jc w:val="both"/>
              <w:rPr>
                <w:rFonts w:asciiTheme="minorHAnsi" w:hAnsiTheme="minorHAnsi" w:cstheme="minorHAnsi"/>
                <w:b/>
                <w:bCs/>
              </w:rPr>
            </w:pPr>
            <w:r w:rsidRPr="00340EE8">
              <w:rPr>
                <w:rFonts w:asciiTheme="minorHAnsi" w:hAnsiTheme="minorHAnsi" w:cstheme="minorHAnsi"/>
                <w:b/>
                <w:bCs/>
                <w:spacing w:val="-2"/>
              </w:rPr>
              <w:t>Total</w:t>
            </w:r>
          </w:p>
        </w:tc>
      </w:tr>
      <w:tr w:rsidR="00EF4C7B" w:rsidRPr="00340EE8" w14:paraId="3A06F362" w14:textId="77777777" w:rsidTr="00EF4C7B">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2610" w:type="dxa"/>
            <w:tcBorders>
              <w:top w:val="single" w:sz="4" w:space="0" w:color="auto"/>
            </w:tcBorders>
          </w:tcPr>
          <w:p w14:paraId="7A3C9196" w14:textId="77777777" w:rsidR="00EF4C7B" w:rsidRPr="00340EE8" w:rsidRDefault="00EF4C7B" w:rsidP="0079443E">
            <w:pPr>
              <w:pStyle w:val="TableParagraph"/>
              <w:spacing w:before="39"/>
              <w:ind w:left="50"/>
              <w:jc w:val="both"/>
              <w:rPr>
                <w:rFonts w:asciiTheme="minorHAnsi" w:hAnsiTheme="minorHAnsi" w:cstheme="minorHAnsi"/>
                <w:b/>
                <w:bCs/>
              </w:rPr>
            </w:pPr>
            <w:r w:rsidRPr="00340EE8">
              <w:rPr>
                <w:rFonts w:asciiTheme="minorHAnsi" w:hAnsiTheme="minorHAnsi" w:cstheme="minorHAnsi"/>
                <w:b/>
                <w:bCs/>
              </w:rPr>
              <w:t>Total</w:t>
            </w:r>
            <w:r w:rsidRPr="00340EE8">
              <w:rPr>
                <w:rFonts w:asciiTheme="minorHAnsi" w:hAnsiTheme="minorHAnsi" w:cstheme="minorHAnsi"/>
                <w:b/>
                <w:bCs/>
                <w:spacing w:val="-10"/>
              </w:rPr>
              <w:t xml:space="preserve"> </w:t>
            </w:r>
            <w:r w:rsidRPr="00340EE8">
              <w:rPr>
                <w:rFonts w:asciiTheme="minorHAnsi" w:hAnsiTheme="minorHAnsi" w:cstheme="minorHAnsi"/>
                <w:b/>
                <w:bCs/>
                <w:spacing w:val="-2"/>
              </w:rPr>
              <w:t>Award</w:t>
            </w:r>
          </w:p>
        </w:tc>
        <w:tc>
          <w:tcPr>
            <w:cnfStyle w:val="000010000000" w:firstRow="0" w:lastRow="0" w:firstColumn="0" w:lastColumn="0" w:oddVBand="1" w:evenVBand="0" w:oddHBand="0" w:evenHBand="0" w:firstRowFirstColumn="0" w:firstRowLastColumn="0" w:lastRowFirstColumn="0" w:lastRowLastColumn="0"/>
            <w:tcW w:w="1800" w:type="dxa"/>
            <w:tcBorders>
              <w:top w:val="single" w:sz="4" w:space="0" w:color="auto"/>
            </w:tcBorders>
            <w:shd w:val="clear" w:color="auto" w:fill="ACDBEA"/>
          </w:tcPr>
          <w:p w14:paraId="00AA0DD9" w14:textId="77777777" w:rsidR="00EF4C7B" w:rsidRPr="00340EE8" w:rsidRDefault="00EF4C7B" w:rsidP="0079443E">
            <w:pPr>
              <w:pStyle w:val="TableParagraph"/>
              <w:spacing w:before="39"/>
              <w:ind w:right="718"/>
              <w:jc w:val="both"/>
              <w:rPr>
                <w:rFonts w:asciiTheme="minorHAnsi" w:hAnsiTheme="minorHAnsi" w:cstheme="minorHAnsi"/>
              </w:rPr>
            </w:pPr>
            <w:r w:rsidRPr="00340EE8">
              <w:rPr>
                <w:rFonts w:asciiTheme="minorHAnsi" w:hAnsiTheme="minorHAnsi" w:cstheme="minorHAnsi"/>
                <w:spacing w:val="-2"/>
              </w:rPr>
              <w:t>$940,000</w:t>
            </w:r>
          </w:p>
        </w:tc>
        <w:tc>
          <w:tcPr>
            <w:tcW w:w="1080" w:type="dxa"/>
            <w:tcBorders>
              <w:top w:val="single" w:sz="4" w:space="0" w:color="auto"/>
            </w:tcBorders>
            <w:shd w:val="clear" w:color="auto" w:fill="ACDBEA"/>
          </w:tcPr>
          <w:p w14:paraId="16E1F61B" w14:textId="77777777" w:rsidR="00EF4C7B" w:rsidRPr="00340EE8" w:rsidRDefault="00EF4C7B" w:rsidP="0079443E">
            <w:pPr>
              <w:pStyle w:val="TableParagraph"/>
              <w:spacing w:before="39"/>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40EE8">
              <w:rPr>
                <w:rFonts w:asciiTheme="minorHAnsi" w:hAnsiTheme="minorHAnsi" w:cstheme="minorHAnsi"/>
                <w:spacing w:val="-2"/>
              </w:rPr>
              <w:t>$902,621</w:t>
            </w:r>
          </w:p>
        </w:tc>
        <w:tc>
          <w:tcPr>
            <w:cnfStyle w:val="000010000000" w:firstRow="0" w:lastRow="0" w:firstColumn="0" w:lastColumn="0" w:oddVBand="1" w:evenVBand="0" w:oddHBand="0" w:evenHBand="0" w:firstRowFirstColumn="0" w:firstRowLastColumn="0" w:lastRowFirstColumn="0" w:lastRowLastColumn="0"/>
            <w:tcW w:w="1530" w:type="dxa"/>
            <w:tcBorders>
              <w:top w:val="single" w:sz="4" w:space="0" w:color="auto"/>
              <w:right w:val="single" w:sz="4" w:space="0" w:color="auto"/>
            </w:tcBorders>
            <w:shd w:val="clear" w:color="auto" w:fill="ACDBEA"/>
          </w:tcPr>
          <w:p w14:paraId="75AB2D18" w14:textId="77777777" w:rsidR="00EF4C7B" w:rsidRPr="00340EE8" w:rsidRDefault="00EF4C7B" w:rsidP="0079443E">
            <w:pPr>
              <w:pStyle w:val="TableParagraph"/>
              <w:spacing w:before="39"/>
              <w:ind w:left="300"/>
              <w:jc w:val="both"/>
              <w:rPr>
                <w:rFonts w:asciiTheme="minorHAnsi" w:hAnsiTheme="minorHAnsi" w:cstheme="minorHAnsi"/>
                <w:spacing w:val="-2"/>
              </w:rPr>
            </w:pPr>
            <w:r w:rsidRPr="00340EE8">
              <w:rPr>
                <w:rFonts w:asciiTheme="minorHAnsi" w:hAnsiTheme="minorHAnsi" w:cstheme="minorHAnsi"/>
                <w:spacing w:val="-2"/>
              </w:rPr>
              <w:t>$1,013,918</w:t>
            </w:r>
          </w:p>
        </w:tc>
        <w:tc>
          <w:tcPr>
            <w:cnfStyle w:val="000100000000" w:firstRow="0" w:lastRow="0" w:firstColumn="0" w:lastColumn="1" w:oddVBand="0" w:evenVBand="0" w:oddHBand="0" w:evenHBand="0" w:firstRowFirstColumn="0" w:firstRowLastColumn="0" w:lastRowFirstColumn="0" w:lastRowLastColumn="0"/>
            <w:tcW w:w="1260" w:type="dxa"/>
            <w:tcBorders>
              <w:top w:val="single" w:sz="4" w:space="0" w:color="auto"/>
              <w:left w:val="single" w:sz="4" w:space="0" w:color="auto"/>
            </w:tcBorders>
          </w:tcPr>
          <w:p w14:paraId="42EDDB68" w14:textId="77777777" w:rsidR="00EF4C7B" w:rsidRPr="00340EE8" w:rsidRDefault="00EF4C7B" w:rsidP="0079443E">
            <w:pPr>
              <w:pStyle w:val="TableParagraph"/>
              <w:spacing w:before="39"/>
              <w:jc w:val="both"/>
              <w:rPr>
                <w:rFonts w:asciiTheme="minorHAnsi" w:hAnsiTheme="minorHAnsi" w:cstheme="minorHAnsi"/>
                <w:b/>
                <w:bCs/>
              </w:rPr>
            </w:pPr>
            <w:r w:rsidRPr="00340EE8">
              <w:rPr>
                <w:rFonts w:asciiTheme="minorHAnsi" w:hAnsiTheme="minorHAnsi" w:cstheme="minorHAnsi"/>
                <w:b/>
                <w:bCs/>
                <w:spacing w:val="-2"/>
              </w:rPr>
              <w:t>$2,856,539</w:t>
            </w:r>
          </w:p>
        </w:tc>
      </w:tr>
      <w:tr w:rsidR="00EF4C7B" w:rsidRPr="00340EE8" w14:paraId="63D57E9A" w14:textId="77777777" w:rsidTr="00EF4C7B">
        <w:trPr>
          <w:trHeight w:val="269"/>
        </w:trPr>
        <w:tc>
          <w:tcPr>
            <w:cnfStyle w:val="001000000000" w:firstRow="0" w:lastRow="0" w:firstColumn="1" w:lastColumn="0" w:oddVBand="0" w:evenVBand="0" w:oddHBand="0" w:evenHBand="0" w:firstRowFirstColumn="0" w:firstRowLastColumn="0" w:lastRowFirstColumn="0" w:lastRowLastColumn="0"/>
            <w:tcW w:w="2610" w:type="dxa"/>
            <w:tcBorders>
              <w:bottom w:val="single" w:sz="4" w:space="0" w:color="auto"/>
            </w:tcBorders>
          </w:tcPr>
          <w:p w14:paraId="37B3BED5" w14:textId="77777777" w:rsidR="00EF4C7B" w:rsidRPr="00340EE8" w:rsidRDefault="00EF4C7B" w:rsidP="0079443E">
            <w:pPr>
              <w:pStyle w:val="TableParagraph"/>
              <w:spacing w:line="249" w:lineRule="exact"/>
              <w:ind w:left="50"/>
              <w:jc w:val="both"/>
              <w:rPr>
                <w:rFonts w:asciiTheme="minorHAnsi" w:hAnsiTheme="minorHAnsi" w:cstheme="minorHAnsi"/>
                <w:b/>
                <w:bCs/>
              </w:rPr>
            </w:pPr>
            <w:r w:rsidRPr="00340EE8">
              <w:rPr>
                <w:rFonts w:asciiTheme="minorHAnsi" w:hAnsiTheme="minorHAnsi" w:cstheme="minorHAnsi"/>
                <w:b/>
                <w:bCs/>
                <w:w w:val="95"/>
              </w:rPr>
              <w:t>Administrative</w:t>
            </w:r>
            <w:r w:rsidRPr="00340EE8">
              <w:rPr>
                <w:rFonts w:asciiTheme="minorHAnsi" w:hAnsiTheme="minorHAnsi" w:cstheme="minorHAnsi"/>
                <w:b/>
                <w:bCs/>
                <w:spacing w:val="52"/>
              </w:rPr>
              <w:t xml:space="preserve"> </w:t>
            </w:r>
            <w:r w:rsidRPr="00340EE8">
              <w:rPr>
                <w:rFonts w:asciiTheme="minorHAnsi" w:hAnsiTheme="minorHAnsi" w:cstheme="minorHAnsi"/>
                <w:b/>
                <w:bCs/>
                <w:spacing w:val="-2"/>
              </w:rPr>
              <w:t>Costs</w:t>
            </w:r>
          </w:p>
        </w:tc>
        <w:tc>
          <w:tcPr>
            <w:cnfStyle w:val="000010000000" w:firstRow="0" w:lastRow="0" w:firstColumn="0" w:lastColumn="0" w:oddVBand="1" w:evenVBand="0" w:oddHBand="0" w:evenHBand="0" w:firstRowFirstColumn="0" w:firstRowLastColumn="0" w:lastRowFirstColumn="0" w:lastRowLastColumn="0"/>
            <w:tcW w:w="1800" w:type="dxa"/>
            <w:tcBorders>
              <w:bottom w:val="single" w:sz="4" w:space="0" w:color="auto"/>
            </w:tcBorders>
            <w:shd w:val="clear" w:color="auto" w:fill="ACDBEA"/>
          </w:tcPr>
          <w:p w14:paraId="05ACCF1E" w14:textId="77777777" w:rsidR="00EF4C7B" w:rsidRPr="00340EE8" w:rsidRDefault="00EF4C7B" w:rsidP="0079443E">
            <w:pPr>
              <w:pStyle w:val="TableParagraph"/>
              <w:spacing w:line="249" w:lineRule="exact"/>
              <w:ind w:right="718"/>
              <w:jc w:val="both"/>
              <w:rPr>
                <w:rFonts w:asciiTheme="minorHAnsi" w:hAnsiTheme="minorHAnsi" w:cstheme="minorHAnsi"/>
              </w:rPr>
            </w:pPr>
            <w:r w:rsidRPr="00340EE8">
              <w:rPr>
                <w:rFonts w:asciiTheme="minorHAnsi" w:hAnsiTheme="minorHAnsi" w:cstheme="minorHAnsi"/>
                <w:spacing w:val="-2"/>
              </w:rPr>
              <w:t>$47,000</w:t>
            </w:r>
          </w:p>
        </w:tc>
        <w:tc>
          <w:tcPr>
            <w:tcW w:w="1080" w:type="dxa"/>
            <w:tcBorders>
              <w:bottom w:val="single" w:sz="4" w:space="0" w:color="auto"/>
            </w:tcBorders>
            <w:shd w:val="clear" w:color="auto" w:fill="ACDBEA"/>
          </w:tcPr>
          <w:p w14:paraId="51926E4A" w14:textId="77777777" w:rsidR="00EF4C7B" w:rsidRPr="00340EE8" w:rsidRDefault="00EF4C7B" w:rsidP="0079443E">
            <w:pPr>
              <w:pStyle w:val="TableParagraph"/>
              <w:spacing w:line="249" w:lineRule="exac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40EE8">
              <w:rPr>
                <w:rFonts w:asciiTheme="minorHAnsi" w:hAnsiTheme="minorHAnsi" w:cstheme="minorHAnsi"/>
                <w:spacing w:val="-2"/>
              </w:rPr>
              <w:t>$45,131</w:t>
            </w:r>
          </w:p>
        </w:tc>
        <w:tc>
          <w:tcPr>
            <w:cnfStyle w:val="000010000000" w:firstRow="0" w:lastRow="0" w:firstColumn="0" w:lastColumn="0" w:oddVBand="1" w:evenVBand="0" w:oddHBand="0" w:evenHBand="0" w:firstRowFirstColumn="0" w:firstRowLastColumn="0" w:lastRowFirstColumn="0" w:lastRowLastColumn="0"/>
            <w:tcW w:w="1530" w:type="dxa"/>
            <w:tcBorders>
              <w:bottom w:val="single" w:sz="4" w:space="0" w:color="auto"/>
              <w:right w:val="single" w:sz="4" w:space="0" w:color="auto"/>
            </w:tcBorders>
            <w:shd w:val="clear" w:color="auto" w:fill="ACDBEA"/>
          </w:tcPr>
          <w:p w14:paraId="799DF627" w14:textId="77777777" w:rsidR="00EF4C7B" w:rsidRPr="00340EE8" w:rsidRDefault="00EF4C7B" w:rsidP="0079443E">
            <w:pPr>
              <w:pStyle w:val="TableParagraph"/>
              <w:spacing w:before="39"/>
              <w:ind w:left="300"/>
              <w:jc w:val="both"/>
              <w:rPr>
                <w:rFonts w:asciiTheme="minorHAnsi" w:hAnsiTheme="minorHAnsi" w:cstheme="minorHAnsi"/>
                <w:spacing w:val="-2"/>
              </w:rPr>
            </w:pPr>
            <w:r w:rsidRPr="00340EE8">
              <w:rPr>
                <w:rFonts w:asciiTheme="minorHAnsi" w:hAnsiTheme="minorHAnsi" w:cstheme="minorHAnsi"/>
                <w:spacing w:val="-2"/>
              </w:rPr>
              <w:t>$50,696</w:t>
            </w:r>
          </w:p>
        </w:tc>
        <w:tc>
          <w:tcPr>
            <w:cnfStyle w:val="000100000000" w:firstRow="0" w:lastRow="0" w:firstColumn="0" w:lastColumn="1" w:oddVBand="0" w:evenVBand="0" w:oddHBand="0" w:evenHBand="0" w:firstRowFirstColumn="0" w:firstRowLastColumn="0" w:lastRowFirstColumn="0" w:lastRowLastColumn="0"/>
            <w:tcW w:w="1260" w:type="dxa"/>
            <w:tcBorders>
              <w:left w:val="single" w:sz="4" w:space="0" w:color="auto"/>
              <w:bottom w:val="single" w:sz="4" w:space="0" w:color="auto"/>
            </w:tcBorders>
          </w:tcPr>
          <w:p w14:paraId="3BF93E3D" w14:textId="77777777" w:rsidR="00EF4C7B" w:rsidRPr="00340EE8" w:rsidRDefault="00EF4C7B" w:rsidP="0079443E">
            <w:pPr>
              <w:pStyle w:val="TableParagraph"/>
              <w:spacing w:line="249" w:lineRule="exact"/>
              <w:jc w:val="both"/>
              <w:rPr>
                <w:rFonts w:asciiTheme="minorHAnsi" w:hAnsiTheme="minorHAnsi" w:cstheme="minorHAnsi"/>
                <w:b/>
                <w:bCs/>
              </w:rPr>
            </w:pPr>
            <w:r w:rsidRPr="00340EE8">
              <w:rPr>
                <w:rFonts w:asciiTheme="minorHAnsi" w:hAnsiTheme="minorHAnsi" w:cstheme="minorHAnsi"/>
                <w:b/>
                <w:bCs/>
                <w:spacing w:val="-2"/>
              </w:rPr>
              <w:t>$142,827</w:t>
            </w:r>
          </w:p>
        </w:tc>
      </w:tr>
      <w:tr w:rsidR="00EF4C7B" w:rsidRPr="00340EE8" w14:paraId="5D19C0FE" w14:textId="77777777" w:rsidTr="00EF4C7B">
        <w:trPr>
          <w:cnfStyle w:val="010000000000" w:firstRow="0" w:lastRow="1" w:firstColumn="0" w:lastColumn="0" w:oddVBand="0" w:evenVBand="0" w:oddHBand="0" w:evenHBand="0" w:firstRowFirstColumn="0" w:firstRowLastColumn="0" w:lastRowFirstColumn="0" w:lastRowLastColumn="0"/>
          <w:trHeight w:val="328"/>
        </w:trPr>
        <w:tc>
          <w:tcPr>
            <w:cnfStyle w:val="001000000001" w:firstRow="0" w:lastRow="0" w:firstColumn="1" w:lastColumn="0" w:oddVBand="0" w:evenVBand="0" w:oddHBand="0" w:evenHBand="0" w:firstRowFirstColumn="0" w:firstRowLastColumn="0" w:lastRowFirstColumn="1" w:lastRowLastColumn="0"/>
            <w:tcW w:w="2610" w:type="dxa"/>
            <w:tcBorders>
              <w:top w:val="single" w:sz="4" w:space="0" w:color="auto"/>
              <w:right w:val="single" w:sz="4" w:space="0" w:color="auto"/>
            </w:tcBorders>
          </w:tcPr>
          <w:p w14:paraId="1066CEFD" w14:textId="77777777" w:rsidR="00EF4C7B" w:rsidRPr="00340EE8" w:rsidRDefault="00EF4C7B" w:rsidP="0079443E">
            <w:pPr>
              <w:pStyle w:val="TableParagraph"/>
              <w:spacing w:line="248" w:lineRule="exact"/>
              <w:ind w:left="50"/>
              <w:jc w:val="both"/>
              <w:rPr>
                <w:rFonts w:asciiTheme="minorHAnsi" w:hAnsiTheme="minorHAnsi" w:cstheme="minorHAnsi"/>
                <w:b/>
                <w:bCs/>
              </w:rPr>
            </w:pPr>
            <w:r w:rsidRPr="00340EE8">
              <w:rPr>
                <w:rFonts w:asciiTheme="minorHAnsi" w:hAnsiTheme="minorHAnsi" w:cstheme="minorHAnsi"/>
                <w:b/>
                <w:bCs/>
              </w:rPr>
              <w:t>Amount for Distribution</w:t>
            </w:r>
          </w:p>
        </w:tc>
        <w:tc>
          <w:tcPr>
            <w:cnfStyle w:val="000010000000" w:firstRow="0" w:lastRow="0" w:firstColumn="0" w:lastColumn="0" w:oddVBand="1" w:evenVBand="0" w:oddHBand="0" w:evenHBand="0" w:firstRowFirstColumn="0" w:firstRowLastColumn="0" w:lastRowFirstColumn="0" w:lastRowLastColumn="0"/>
            <w:tcW w:w="1800" w:type="dxa"/>
            <w:tcBorders>
              <w:top w:val="single" w:sz="4" w:space="0" w:color="auto"/>
              <w:left w:val="single" w:sz="4" w:space="0" w:color="auto"/>
            </w:tcBorders>
            <w:shd w:val="clear" w:color="auto" w:fill="ACDBEA"/>
          </w:tcPr>
          <w:p w14:paraId="531F68BF" w14:textId="77777777" w:rsidR="00EF4C7B" w:rsidRPr="00340EE8" w:rsidRDefault="00EF4C7B" w:rsidP="0079443E">
            <w:pPr>
              <w:pStyle w:val="TableParagraph"/>
              <w:spacing w:line="248" w:lineRule="exact"/>
              <w:ind w:right="718"/>
              <w:jc w:val="both"/>
              <w:rPr>
                <w:rFonts w:asciiTheme="minorHAnsi" w:hAnsiTheme="minorHAnsi" w:cstheme="minorHAnsi"/>
                <w:b/>
                <w:bCs/>
              </w:rPr>
            </w:pPr>
            <w:r w:rsidRPr="00340EE8">
              <w:rPr>
                <w:rFonts w:asciiTheme="minorHAnsi" w:hAnsiTheme="minorHAnsi" w:cstheme="minorHAnsi"/>
                <w:b/>
                <w:bCs/>
                <w:spacing w:val="-2"/>
              </w:rPr>
              <w:t>$893,000</w:t>
            </w:r>
          </w:p>
        </w:tc>
        <w:tc>
          <w:tcPr>
            <w:tcW w:w="1080" w:type="dxa"/>
            <w:tcBorders>
              <w:top w:val="single" w:sz="4" w:space="0" w:color="auto"/>
            </w:tcBorders>
            <w:shd w:val="clear" w:color="auto" w:fill="ACDBEA"/>
          </w:tcPr>
          <w:p w14:paraId="770240FF" w14:textId="77777777" w:rsidR="00EF4C7B" w:rsidRPr="00340EE8" w:rsidRDefault="00EF4C7B" w:rsidP="0079443E">
            <w:pPr>
              <w:pStyle w:val="TableParagraph"/>
              <w:spacing w:line="248" w:lineRule="exact"/>
              <w:jc w:val="both"/>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b/>
                <w:bCs/>
              </w:rPr>
            </w:pPr>
            <w:r w:rsidRPr="00340EE8">
              <w:rPr>
                <w:rFonts w:asciiTheme="minorHAnsi" w:hAnsiTheme="minorHAnsi" w:cstheme="minorHAnsi"/>
                <w:b/>
                <w:bCs/>
                <w:spacing w:val="-2"/>
              </w:rPr>
              <w:t>$857,490</w:t>
            </w:r>
          </w:p>
        </w:tc>
        <w:tc>
          <w:tcPr>
            <w:cnfStyle w:val="000010000000" w:firstRow="0" w:lastRow="0" w:firstColumn="0" w:lastColumn="0" w:oddVBand="1" w:evenVBand="0" w:oddHBand="0" w:evenHBand="0" w:firstRowFirstColumn="0" w:firstRowLastColumn="0" w:lastRowFirstColumn="0" w:lastRowLastColumn="0"/>
            <w:tcW w:w="1530" w:type="dxa"/>
            <w:tcBorders>
              <w:top w:val="single" w:sz="4" w:space="0" w:color="auto"/>
              <w:right w:val="single" w:sz="4" w:space="0" w:color="auto"/>
            </w:tcBorders>
            <w:shd w:val="clear" w:color="auto" w:fill="ACDBEA"/>
          </w:tcPr>
          <w:p w14:paraId="2C848022" w14:textId="77777777" w:rsidR="00EF4C7B" w:rsidRPr="00340EE8" w:rsidRDefault="00EF4C7B" w:rsidP="0079443E">
            <w:pPr>
              <w:pStyle w:val="TableParagraph"/>
              <w:spacing w:line="248" w:lineRule="exact"/>
              <w:ind w:left="300"/>
              <w:jc w:val="both"/>
              <w:rPr>
                <w:rFonts w:asciiTheme="minorHAnsi" w:hAnsiTheme="minorHAnsi" w:cstheme="minorHAnsi"/>
                <w:b/>
                <w:bCs/>
                <w:spacing w:val="-2"/>
              </w:rPr>
            </w:pPr>
            <w:r w:rsidRPr="00340EE8">
              <w:rPr>
                <w:rFonts w:asciiTheme="minorHAnsi" w:hAnsiTheme="minorHAnsi" w:cstheme="minorHAnsi"/>
                <w:b/>
                <w:bCs/>
                <w:spacing w:val="-2"/>
              </w:rPr>
              <w:t>$963,222</w:t>
            </w:r>
          </w:p>
        </w:tc>
        <w:tc>
          <w:tcPr>
            <w:cnfStyle w:val="000100000010" w:firstRow="0" w:lastRow="0" w:firstColumn="0" w:lastColumn="1" w:oddVBand="0" w:evenVBand="0" w:oddHBand="0" w:evenHBand="0" w:firstRowFirstColumn="0" w:firstRowLastColumn="0" w:lastRowFirstColumn="0" w:lastRowLastColumn="1"/>
            <w:tcW w:w="1260" w:type="dxa"/>
            <w:tcBorders>
              <w:top w:val="single" w:sz="4" w:space="0" w:color="auto"/>
              <w:left w:val="single" w:sz="4" w:space="0" w:color="auto"/>
            </w:tcBorders>
          </w:tcPr>
          <w:p w14:paraId="723457D0" w14:textId="77777777" w:rsidR="00EF4C7B" w:rsidRPr="00340EE8" w:rsidRDefault="00EF4C7B" w:rsidP="0079443E">
            <w:pPr>
              <w:pStyle w:val="TableParagraph"/>
              <w:spacing w:line="248" w:lineRule="exact"/>
              <w:jc w:val="both"/>
              <w:rPr>
                <w:rFonts w:asciiTheme="minorHAnsi" w:hAnsiTheme="minorHAnsi" w:cstheme="minorHAnsi"/>
                <w:b/>
                <w:bCs/>
              </w:rPr>
            </w:pPr>
            <w:r w:rsidRPr="00340EE8">
              <w:rPr>
                <w:rFonts w:asciiTheme="minorHAnsi" w:hAnsiTheme="minorHAnsi" w:cstheme="minorHAnsi"/>
                <w:b/>
                <w:bCs/>
                <w:spacing w:val="-2"/>
              </w:rPr>
              <w:t>$2,713,712</w:t>
            </w:r>
          </w:p>
        </w:tc>
      </w:tr>
    </w:tbl>
    <w:p w14:paraId="30F90220" w14:textId="276BD8BE" w:rsidR="00FE1C38" w:rsidRDefault="00FE1C38" w:rsidP="00FE1C38"/>
    <w:p w14:paraId="6F66A612" w14:textId="77777777" w:rsidR="00554E68" w:rsidRDefault="00554E68" w:rsidP="00FE1C38"/>
    <w:p w14:paraId="72408162" w14:textId="65CE289D" w:rsidR="0030173E" w:rsidRPr="00340EE8" w:rsidRDefault="0030173E" w:rsidP="0079443E">
      <w:pPr>
        <w:pStyle w:val="Heading2"/>
        <w:jc w:val="both"/>
      </w:pPr>
      <w:bookmarkStart w:id="31" w:name="_Toc117606379"/>
      <w:r w:rsidRPr="00340EE8">
        <w:lastRenderedPageBreak/>
        <w:t>Eligible Service Providers</w:t>
      </w:r>
      <w:bookmarkEnd w:id="31"/>
    </w:p>
    <w:p w14:paraId="18AEC9BA" w14:textId="46A059AC" w:rsidR="0030173E" w:rsidRDefault="0030173E" w:rsidP="00FE1C38">
      <w:pPr>
        <w:jc w:val="both"/>
        <w:rPr>
          <w:rFonts w:cstheme="minorHAnsi"/>
          <w:sz w:val="22"/>
          <w:szCs w:val="22"/>
        </w:rPr>
      </w:pPr>
      <w:r w:rsidRPr="0079443E">
        <w:rPr>
          <w:rFonts w:cstheme="minorHAnsi"/>
          <w:sz w:val="22"/>
          <w:szCs w:val="22"/>
        </w:rPr>
        <w:t>The New Mexico Mortgage Finance Authority (MFA) as New Mexico’s housing finance agency will administer the RHP allocation for FY2020, FY2021, and FY2022 on the behalf of The Department of Finance and Administration – Local Government Division (DFA-LGD)</w:t>
      </w:r>
      <w:r w:rsidR="00FE1C38">
        <w:rPr>
          <w:rFonts w:cstheme="minorHAnsi"/>
          <w:sz w:val="22"/>
          <w:szCs w:val="22"/>
        </w:rPr>
        <w:t>.</w:t>
      </w:r>
    </w:p>
    <w:p w14:paraId="0264DB5F" w14:textId="05477868" w:rsidR="0030173E" w:rsidRPr="0030173E" w:rsidRDefault="0030173E" w:rsidP="00FE1C38">
      <w:pPr>
        <w:jc w:val="both"/>
        <w:rPr>
          <w:rFonts w:cstheme="minorHAnsi"/>
          <w:sz w:val="22"/>
          <w:szCs w:val="22"/>
        </w:rPr>
      </w:pPr>
      <w:r w:rsidRPr="00340EE8">
        <w:rPr>
          <w:rFonts w:cstheme="minorHAnsi"/>
          <w:sz w:val="22"/>
          <w:szCs w:val="22"/>
        </w:rPr>
        <w:t>MFA will make awards of RHP funding to local governments, public and private non-profit organizations, and Indian tribes who demonstrate the ability to offer recovery housing services. Public and private nonprofit organizations can be located in all geographic areas within the State of New Mexico, including CDBG entitlement areas. Public and private nonprofit organizations must be exempt from taxation under subtitle C of section 501(c), have an accounting system, a voluntary board, actively engaged in recovery housing efforts in New Mexico or previously engaged in recovery housing efforts in New Mexico, and practice nondiscrimination in the provision of assistance. Assistance may be provided to primarily religious organizations that agree to provide all eligible activities in a manner that is free from religious influence.</w:t>
      </w:r>
    </w:p>
    <w:p w14:paraId="0E85C75B" w14:textId="5B4BB4D3" w:rsidR="00EF4C7B" w:rsidRDefault="00F40246" w:rsidP="0079443E">
      <w:pPr>
        <w:pStyle w:val="Heading2"/>
        <w:jc w:val="both"/>
      </w:pPr>
      <w:bookmarkStart w:id="32" w:name="_Toc117606380"/>
      <w:r>
        <w:t>Criteria for Evaluation</w:t>
      </w:r>
      <w:bookmarkEnd w:id="32"/>
    </w:p>
    <w:p w14:paraId="648ECFE1" w14:textId="24E05391" w:rsidR="0030173E" w:rsidRPr="0079443E" w:rsidRDefault="0030173E" w:rsidP="00FE1C38">
      <w:pPr>
        <w:jc w:val="both"/>
        <w:rPr>
          <w:rFonts w:cstheme="minorHAnsi"/>
          <w:sz w:val="22"/>
          <w:szCs w:val="22"/>
        </w:rPr>
      </w:pPr>
      <w:r w:rsidRPr="0079443E">
        <w:rPr>
          <w:rFonts w:cstheme="minorHAnsi"/>
          <w:sz w:val="22"/>
          <w:szCs w:val="22"/>
        </w:rPr>
        <w:t>Awards will be made for eligible activities through a NOFA Process. Offerors must meet the minimum qualifications and requirements established by MFA’s Procurement policy outline in the RHP NOFA to be eligible to apply.</w:t>
      </w:r>
    </w:p>
    <w:p w14:paraId="5E7F70ED" w14:textId="047DAE27" w:rsidR="005D38D3" w:rsidRPr="0079443E" w:rsidRDefault="005D38D3" w:rsidP="00FE1C38">
      <w:pPr>
        <w:jc w:val="both"/>
        <w:rPr>
          <w:rFonts w:cstheme="minorHAnsi"/>
          <w:sz w:val="22"/>
          <w:szCs w:val="22"/>
        </w:rPr>
      </w:pPr>
      <w:r w:rsidRPr="0079443E">
        <w:rPr>
          <w:rFonts w:cstheme="minorHAnsi"/>
          <w:sz w:val="22"/>
          <w:szCs w:val="22"/>
        </w:rPr>
        <w:t>The New Mexico Mortgage Finance Authority (MFA) as New Mexico’s housing finance agency will administer the RHP allocation for FY2020, FY2021, and FY2022 on the behalf of The Department of Finance and Administration – Local Government Division (DFA-LGD).</w:t>
      </w:r>
    </w:p>
    <w:p w14:paraId="1F854CF6" w14:textId="35D82DDB" w:rsidR="005D38D3" w:rsidRPr="0079443E" w:rsidRDefault="005D38D3" w:rsidP="00FE1C38">
      <w:pPr>
        <w:jc w:val="both"/>
        <w:rPr>
          <w:rFonts w:cstheme="minorHAnsi"/>
          <w:sz w:val="22"/>
          <w:szCs w:val="22"/>
        </w:rPr>
      </w:pPr>
      <w:r w:rsidRPr="0079443E">
        <w:rPr>
          <w:rFonts w:cstheme="minorHAnsi"/>
          <w:sz w:val="22"/>
          <w:szCs w:val="22"/>
        </w:rPr>
        <w:t xml:space="preserve">Through </w:t>
      </w:r>
      <w:r w:rsidR="005D2C0E" w:rsidRPr="0079443E">
        <w:rPr>
          <w:rFonts w:cstheme="minorHAnsi"/>
          <w:sz w:val="22"/>
          <w:szCs w:val="22"/>
        </w:rPr>
        <w:t xml:space="preserve">RHP outreach and </w:t>
      </w:r>
      <w:r w:rsidRPr="0079443E">
        <w:rPr>
          <w:rFonts w:cstheme="minorHAnsi"/>
          <w:sz w:val="22"/>
          <w:szCs w:val="22"/>
        </w:rPr>
        <w:t xml:space="preserve">partner coordination, the demand for Recovery Housing funding is </w:t>
      </w:r>
      <w:r w:rsidR="005D2C0E" w:rsidRPr="0079443E">
        <w:rPr>
          <w:rFonts w:cstheme="minorHAnsi"/>
          <w:sz w:val="22"/>
          <w:szCs w:val="22"/>
        </w:rPr>
        <w:t xml:space="preserve">more than sufficient to </w:t>
      </w:r>
      <w:proofErr w:type="gramStart"/>
      <w:r w:rsidR="005D2C0E" w:rsidRPr="0079443E">
        <w:rPr>
          <w:rFonts w:cstheme="minorHAnsi"/>
          <w:sz w:val="22"/>
          <w:szCs w:val="22"/>
        </w:rPr>
        <w:t>expend</w:t>
      </w:r>
      <w:proofErr w:type="gramEnd"/>
      <w:r w:rsidR="005D2C0E" w:rsidRPr="0079443E">
        <w:rPr>
          <w:rFonts w:cstheme="minorHAnsi"/>
          <w:sz w:val="22"/>
          <w:szCs w:val="22"/>
        </w:rPr>
        <w:t xml:space="preserve"> the NM RHP allocation.</w:t>
      </w:r>
      <w:r w:rsidR="00E53106" w:rsidRPr="0079443E">
        <w:rPr>
          <w:rFonts w:cstheme="minorHAnsi"/>
          <w:sz w:val="22"/>
          <w:szCs w:val="22"/>
        </w:rPr>
        <w:t xml:space="preserve"> </w:t>
      </w:r>
    </w:p>
    <w:p w14:paraId="18DB4BF9" w14:textId="402E29ED" w:rsidR="00E53106" w:rsidRPr="0079443E" w:rsidRDefault="00E53106" w:rsidP="00FE1C38">
      <w:pPr>
        <w:jc w:val="both"/>
        <w:rPr>
          <w:rFonts w:cstheme="minorHAnsi"/>
          <w:sz w:val="22"/>
          <w:szCs w:val="22"/>
        </w:rPr>
      </w:pPr>
      <w:r w:rsidRPr="0079443E">
        <w:rPr>
          <w:rFonts w:cstheme="minorHAnsi"/>
          <w:sz w:val="22"/>
          <w:szCs w:val="22"/>
        </w:rPr>
        <w:t>Scoring criteria and eligible points are established in the NOFA to ensure priority is given to offerors who are able to demonstrate the greatest need and ability to deliver funds.</w:t>
      </w:r>
    </w:p>
    <w:p w14:paraId="09352523" w14:textId="6945D6AC" w:rsidR="006D306C" w:rsidRPr="00340EE8" w:rsidRDefault="00F40246" w:rsidP="0079443E">
      <w:pPr>
        <w:pStyle w:val="Heading2"/>
        <w:jc w:val="both"/>
      </w:pPr>
      <w:bookmarkStart w:id="33" w:name="_Toc117606381"/>
      <w:bookmarkEnd w:id="30"/>
      <w:r>
        <w:t>Project Need</w:t>
      </w:r>
      <w:bookmarkEnd w:id="33"/>
    </w:p>
    <w:p w14:paraId="5ADC83B6" w14:textId="0F8BC685" w:rsidR="007E6EE0" w:rsidRPr="00340EE8" w:rsidRDefault="007E6EE0" w:rsidP="0079443E">
      <w:pPr>
        <w:pStyle w:val="Heading3"/>
        <w:jc w:val="both"/>
        <w:rPr>
          <w:rFonts w:cstheme="minorHAnsi"/>
        </w:rPr>
      </w:pPr>
      <w:bookmarkStart w:id="34" w:name="_Toc104210915"/>
      <w:r w:rsidRPr="00340EE8">
        <w:rPr>
          <w:rFonts w:cstheme="minorHAnsi"/>
        </w:rPr>
        <w:t xml:space="preserve">Project </w:t>
      </w:r>
      <w:r w:rsidR="00104BFD">
        <w:rPr>
          <w:rFonts w:cstheme="minorHAnsi"/>
        </w:rPr>
        <w:t>Response to Documented Need/Issue</w:t>
      </w:r>
    </w:p>
    <w:p w14:paraId="7D0BA253" w14:textId="31AB4C0E" w:rsidR="00A77D94" w:rsidRPr="0079443E" w:rsidRDefault="00EF4C7B" w:rsidP="00FE1C38">
      <w:pPr>
        <w:jc w:val="both"/>
        <w:rPr>
          <w:rFonts w:cstheme="minorHAnsi"/>
          <w:sz w:val="22"/>
          <w:szCs w:val="22"/>
        </w:rPr>
      </w:pPr>
      <w:r w:rsidRPr="0079443E">
        <w:rPr>
          <w:rFonts w:cstheme="minorHAnsi"/>
          <w:sz w:val="22"/>
          <w:szCs w:val="22"/>
        </w:rPr>
        <w:t>Applicants must be able to provide documentation confirming understanding the health and social needs of persons with substance use disorders (SUD) and is aware of nationally recognized models and interventions that address those needs. The data or statistics to demonstrate knowledge of population profile (demographics, social and health needs) including program, organizational, city/county, treatment/health system, criminal justice, housing, poverty, overdose, SUD prevalence, homelessnes</w:t>
      </w:r>
      <w:r w:rsidR="00104BFD" w:rsidRPr="0079443E">
        <w:rPr>
          <w:rFonts w:cstheme="minorHAnsi"/>
          <w:sz w:val="22"/>
          <w:szCs w:val="22"/>
        </w:rPr>
        <w:t xml:space="preserve">s. Program activities including processes, tools, events, technology, and actions that are an intentional part of the program implementation demonstrate the project success to meet the intended program goals or results. Project documentation confirms the project will fulfill a verifiable need in the community with measurable results of projected outcomes including number of individuals served. </w:t>
      </w:r>
    </w:p>
    <w:p w14:paraId="05EA3BFA" w14:textId="561A9DEC" w:rsidR="007E6EE0" w:rsidRPr="00340EE8" w:rsidRDefault="00104BFD" w:rsidP="0079443E">
      <w:pPr>
        <w:pStyle w:val="Heading3"/>
        <w:jc w:val="both"/>
        <w:rPr>
          <w:rFonts w:cstheme="minorHAnsi"/>
        </w:rPr>
      </w:pPr>
      <w:r>
        <w:rPr>
          <w:rFonts w:cstheme="minorHAnsi"/>
        </w:rPr>
        <w:lastRenderedPageBreak/>
        <w:t>Project Respoonse Must be near service hub and underserved by recovery residences</w:t>
      </w:r>
    </w:p>
    <w:p w14:paraId="5673B54F" w14:textId="640098C8" w:rsidR="00104BFD" w:rsidRPr="0079443E" w:rsidRDefault="00104BFD" w:rsidP="00FE1C38">
      <w:pPr>
        <w:jc w:val="both"/>
        <w:rPr>
          <w:rFonts w:cstheme="minorHAnsi"/>
          <w:sz w:val="22"/>
          <w:szCs w:val="22"/>
        </w:rPr>
      </w:pPr>
      <w:r w:rsidRPr="0079443E">
        <w:rPr>
          <w:rFonts w:cstheme="minorHAnsi"/>
          <w:sz w:val="22"/>
          <w:szCs w:val="22"/>
        </w:rPr>
        <w:t xml:space="preserve">Applicants should be responsive to the needs of the populations served and proximity to services. Applicants must provide </w:t>
      </w:r>
      <w:proofErr w:type="gramStart"/>
      <w:r w:rsidRPr="0079443E">
        <w:rPr>
          <w:rFonts w:cstheme="minorHAnsi"/>
          <w:sz w:val="22"/>
          <w:szCs w:val="22"/>
        </w:rPr>
        <w:t>map</w:t>
      </w:r>
      <w:proofErr w:type="gramEnd"/>
      <w:r w:rsidRPr="0079443E">
        <w:rPr>
          <w:rFonts w:cstheme="minorHAnsi"/>
          <w:sz w:val="22"/>
          <w:szCs w:val="22"/>
        </w:rPr>
        <w:t xml:space="preserve"> to confirm project location and service hub proximity, other recovery residences within 50 miles and access to transportation, health care services and community-based services available within 10 miles.</w:t>
      </w:r>
    </w:p>
    <w:p w14:paraId="7439FA0B" w14:textId="741294ED" w:rsidR="007E6EE0" w:rsidRPr="00340EE8" w:rsidRDefault="007E6EE0" w:rsidP="0079443E">
      <w:pPr>
        <w:pStyle w:val="Heading3"/>
        <w:jc w:val="both"/>
        <w:rPr>
          <w:rFonts w:cstheme="minorHAnsi"/>
        </w:rPr>
      </w:pPr>
      <w:r w:rsidRPr="00340EE8">
        <w:rPr>
          <w:rFonts w:cstheme="minorHAnsi"/>
        </w:rPr>
        <w:t xml:space="preserve">Project </w:t>
      </w:r>
      <w:r w:rsidR="00104BFD">
        <w:rPr>
          <w:rFonts w:cstheme="minorHAnsi"/>
        </w:rPr>
        <w:t>Provides safe, Healthy, and sober lving Enviroment</w:t>
      </w:r>
    </w:p>
    <w:p w14:paraId="6C6B9A1F" w14:textId="439F46AC" w:rsidR="007E6EE0" w:rsidRPr="0079443E" w:rsidRDefault="00104BFD" w:rsidP="00FE1C38">
      <w:pPr>
        <w:jc w:val="both"/>
        <w:rPr>
          <w:rFonts w:cstheme="minorHAnsi"/>
          <w:sz w:val="22"/>
          <w:szCs w:val="22"/>
        </w:rPr>
      </w:pPr>
      <w:r w:rsidRPr="0079443E">
        <w:rPr>
          <w:rFonts w:cstheme="minorHAnsi"/>
          <w:sz w:val="22"/>
          <w:szCs w:val="22"/>
        </w:rPr>
        <w:t>Applicants must provide documentation to confirm house rules and house meeting requirements including current policies and procedures for recovery housing residents. Policies and procedures must outline any drug screening and/or background requirements. Applicants must provide staff job description, staff ratios, staff roles and staff availability. Include current policies and procedures for recovery housing staff. Policies and procedures must outline staff protocol for resident interaction and any drug screening and/or background requirements.</w:t>
      </w:r>
    </w:p>
    <w:p w14:paraId="38897543" w14:textId="140CF603" w:rsidR="007E6EE0" w:rsidRPr="00340EE8" w:rsidRDefault="00F40246" w:rsidP="0079443E">
      <w:pPr>
        <w:pStyle w:val="Heading3"/>
        <w:jc w:val="both"/>
        <w:rPr>
          <w:rFonts w:cstheme="minorHAnsi"/>
        </w:rPr>
      </w:pPr>
      <w:r>
        <w:rPr>
          <w:rFonts w:cstheme="minorHAnsi"/>
        </w:rPr>
        <w:t>Design of Program that Provides Holistic, wrap Around services</w:t>
      </w:r>
    </w:p>
    <w:p w14:paraId="77048926" w14:textId="1335CBE4" w:rsidR="007E6EE0" w:rsidRPr="0079443E" w:rsidRDefault="00F40246" w:rsidP="00FE1C38">
      <w:pPr>
        <w:jc w:val="both"/>
        <w:rPr>
          <w:rFonts w:cstheme="minorHAnsi"/>
          <w:sz w:val="22"/>
          <w:szCs w:val="22"/>
        </w:rPr>
      </w:pPr>
      <w:r w:rsidRPr="0079443E">
        <w:rPr>
          <w:rFonts w:cstheme="minorHAnsi"/>
          <w:sz w:val="22"/>
          <w:szCs w:val="22"/>
        </w:rPr>
        <w:t xml:space="preserve">Applicants must provide </w:t>
      </w:r>
      <w:proofErr w:type="gramStart"/>
      <w:r w:rsidRPr="0079443E">
        <w:rPr>
          <w:rFonts w:cstheme="minorHAnsi"/>
          <w:sz w:val="22"/>
          <w:szCs w:val="22"/>
        </w:rPr>
        <w:t>listing</w:t>
      </w:r>
      <w:proofErr w:type="gramEnd"/>
      <w:r w:rsidRPr="0079443E">
        <w:rPr>
          <w:rFonts w:cstheme="minorHAnsi"/>
          <w:sz w:val="22"/>
          <w:szCs w:val="22"/>
        </w:rPr>
        <w:t xml:space="preserve"> of services to be provided by staff or that may be accessible through other programs or partnerships to the recovery housing residents.</w:t>
      </w:r>
    </w:p>
    <w:p w14:paraId="08B72031" w14:textId="7F838069" w:rsidR="007E6EE0" w:rsidRPr="00340EE8" w:rsidRDefault="007E6EE0" w:rsidP="0079443E">
      <w:pPr>
        <w:pStyle w:val="Heading3"/>
        <w:jc w:val="both"/>
        <w:rPr>
          <w:rFonts w:cstheme="minorHAnsi"/>
        </w:rPr>
      </w:pPr>
      <w:r w:rsidRPr="00340EE8">
        <w:rPr>
          <w:rFonts w:cstheme="minorHAnsi"/>
        </w:rPr>
        <w:t>P</w:t>
      </w:r>
      <w:r w:rsidR="00F40246">
        <w:rPr>
          <w:rFonts w:cstheme="minorHAnsi"/>
        </w:rPr>
        <w:t>Project LEverage of Other Resources</w:t>
      </w:r>
    </w:p>
    <w:p w14:paraId="040E7A9C" w14:textId="458A0964" w:rsidR="007E6EE0" w:rsidRPr="0079443E" w:rsidRDefault="00F40246" w:rsidP="00FE1C38">
      <w:pPr>
        <w:jc w:val="both"/>
        <w:rPr>
          <w:rFonts w:cstheme="minorHAnsi"/>
          <w:sz w:val="22"/>
          <w:szCs w:val="22"/>
        </w:rPr>
      </w:pPr>
      <w:r w:rsidRPr="0079443E">
        <w:rPr>
          <w:rFonts w:cstheme="minorHAnsi"/>
          <w:sz w:val="22"/>
          <w:szCs w:val="22"/>
        </w:rPr>
        <w:t>Applicants must provide documentation confirming existing program resources or other awards received to leverage the project.</w:t>
      </w:r>
    </w:p>
    <w:p w14:paraId="5B972C8D" w14:textId="514D1BBF" w:rsidR="00F40246" w:rsidRDefault="00F40246" w:rsidP="0079443E">
      <w:pPr>
        <w:pStyle w:val="Heading2"/>
        <w:jc w:val="both"/>
      </w:pPr>
      <w:bookmarkStart w:id="35" w:name="_Toc117606382"/>
      <w:r>
        <w:t>Project Impact</w:t>
      </w:r>
      <w:bookmarkEnd w:id="35"/>
    </w:p>
    <w:p w14:paraId="21C98163" w14:textId="0F326C22" w:rsidR="00F40246" w:rsidRDefault="00F40246" w:rsidP="0079443E">
      <w:pPr>
        <w:pStyle w:val="Heading3"/>
        <w:jc w:val="both"/>
      </w:pPr>
      <w:r>
        <w:t>Low-moderate income Individuals (LMI) benefit</w:t>
      </w:r>
    </w:p>
    <w:p w14:paraId="1C6AFF5D" w14:textId="04801E56" w:rsidR="00F40246" w:rsidRPr="0079443E" w:rsidRDefault="00F40246" w:rsidP="00FE1C38">
      <w:pPr>
        <w:jc w:val="both"/>
        <w:rPr>
          <w:rFonts w:cstheme="minorHAnsi"/>
          <w:sz w:val="22"/>
          <w:szCs w:val="22"/>
        </w:rPr>
      </w:pPr>
      <w:r w:rsidRPr="0079443E">
        <w:rPr>
          <w:rFonts w:cstheme="minorHAnsi"/>
          <w:sz w:val="22"/>
          <w:szCs w:val="22"/>
        </w:rPr>
        <w:t>Recovery Housing Projects must serve populations at or below the low to moderate income limit. Applicants must provide policies and procedures to ensure LMI compliance and provide references or information to confirm experience calculating household income and compliance  with Area Median Income (AMI) Requirements.</w:t>
      </w:r>
    </w:p>
    <w:p w14:paraId="768F6F9E" w14:textId="73D55638" w:rsidR="00F40246" w:rsidRDefault="00F40246" w:rsidP="0079443E">
      <w:pPr>
        <w:pStyle w:val="Heading3"/>
        <w:jc w:val="both"/>
      </w:pPr>
      <w:r>
        <w:t>Readiness to proceed and obligate and expend funds within 4 months</w:t>
      </w:r>
    </w:p>
    <w:p w14:paraId="5A5992BC" w14:textId="07C6AC82" w:rsidR="00F40246" w:rsidRDefault="00F40246" w:rsidP="00FE1C38">
      <w:pPr>
        <w:jc w:val="both"/>
        <w:rPr>
          <w:rFonts w:cstheme="minorHAnsi"/>
          <w:sz w:val="22"/>
          <w:szCs w:val="22"/>
        </w:rPr>
      </w:pPr>
      <w:r w:rsidRPr="0079443E">
        <w:rPr>
          <w:rFonts w:cstheme="minorHAnsi"/>
          <w:sz w:val="22"/>
          <w:szCs w:val="22"/>
        </w:rPr>
        <w:t xml:space="preserve">Applicants must be prepared to proceed with the project and expend funds promptly after being awarded. Applicants must provide </w:t>
      </w:r>
      <w:proofErr w:type="gramStart"/>
      <w:r w:rsidRPr="0079443E">
        <w:rPr>
          <w:rFonts w:cstheme="minorHAnsi"/>
          <w:sz w:val="22"/>
          <w:szCs w:val="22"/>
        </w:rPr>
        <w:t>project</w:t>
      </w:r>
      <w:proofErr w:type="gramEnd"/>
      <w:r w:rsidRPr="0079443E">
        <w:rPr>
          <w:rFonts w:cstheme="minorHAnsi"/>
          <w:sz w:val="22"/>
          <w:szCs w:val="22"/>
        </w:rPr>
        <w:t xml:space="preserve"> timeline demonstrating that the </w:t>
      </w:r>
      <w:r w:rsidR="004B6252" w:rsidRPr="0079443E">
        <w:rPr>
          <w:rFonts w:cstheme="minorHAnsi"/>
          <w:sz w:val="22"/>
          <w:szCs w:val="22"/>
        </w:rPr>
        <w:t>purchases occur within 4 months from the date of the signed agreement.</w:t>
      </w:r>
    </w:p>
    <w:p w14:paraId="6BD4BDE2" w14:textId="5B856BF4" w:rsidR="0079443E" w:rsidRDefault="0079443E" w:rsidP="00FE1C38">
      <w:pPr>
        <w:jc w:val="both"/>
        <w:rPr>
          <w:rFonts w:cstheme="minorHAnsi"/>
          <w:sz w:val="22"/>
          <w:szCs w:val="22"/>
        </w:rPr>
      </w:pPr>
    </w:p>
    <w:p w14:paraId="288B5C5D" w14:textId="77777777" w:rsidR="0079443E" w:rsidRPr="0079443E" w:rsidRDefault="0079443E" w:rsidP="00FE1C38">
      <w:pPr>
        <w:jc w:val="both"/>
        <w:rPr>
          <w:rFonts w:cstheme="minorHAnsi"/>
          <w:sz w:val="22"/>
          <w:szCs w:val="22"/>
        </w:rPr>
      </w:pPr>
    </w:p>
    <w:p w14:paraId="7D922778" w14:textId="403E290E" w:rsidR="004B6252" w:rsidRPr="00F40246" w:rsidRDefault="00090948" w:rsidP="0079443E">
      <w:pPr>
        <w:pStyle w:val="Heading3"/>
        <w:jc w:val="both"/>
      </w:pPr>
      <w:r>
        <w:lastRenderedPageBreak/>
        <w:t>Community Support for Recovery Housing</w:t>
      </w:r>
    </w:p>
    <w:p w14:paraId="110D8208" w14:textId="15A9666D" w:rsidR="00F40246" w:rsidRPr="0079443E" w:rsidRDefault="00090948" w:rsidP="00FE1C38">
      <w:pPr>
        <w:jc w:val="both"/>
        <w:rPr>
          <w:rFonts w:cstheme="minorHAnsi"/>
          <w:sz w:val="22"/>
          <w:szCs w:val="22"/>
        </w:rPr>
      </w:pPr>
      <w:r w:rsidRPr="0079443E">
        <w:rPr>
          <w:rFonts w:cstheme="minorHAnsi"/>
          <w:sz w:val="22"/>
          <w:szCs w:val="22"/>
        </w:rPr>
        <w:t>To promote community support applicants should do community outreach and provide letters of support from key stakeholders, evidence of community outreach letters/communications, evidence of community/stakeholder meetings and/or partnerships with community groups addressing this population.</w:t>
      </w:r>
    </w:p>
    <w:p w14:paraId="0D3DEB5F" w14:textId="114355AE" w:rsidR="00090948" w:rsidRDefault="00090948" w:rsidP="0079443E">
      <w:pPr>
        <w:pStyle w:val="Heading3"/>
        <w:jc w:val="both"/>
      </w:pPr>
      <w:r>
        <w:t>Coordination with state, local, or regional service providers</w:t>
      </w:r>
    </w:p>
    <w:p w14:paraId="5F3ABA91" w14:textId="4AD48B28" w:rsidR="00090948" w:rsidRPr="0079443E" w:rsidRDefault="00090948" w:rsidP="00FE1C38">
      <w:pPr>
        <w:jc w:val="both"/>
        <w:rPr>
          <w:rFonts w:cstheme="minorHAnsi"/>
          <w:sz w:val="22"/>
          <w:szCs w:val="22"/>
        </w:rPr>
      </w:pPr>
      <w:r w:rsidRPr="0079443E">
        <w:rPr>
          <w:rFonts w:cstheme="minorHAnsi"/>
          <w:sz w:val="22"/>
          <w:szCs w:val="22"/>
        </w:rPr>
        <w:t>To promote programmatic success applicants can provide evidence of existing contracts and/or Memorandum of Understanding (MOU) with local and regional entities.</w:t>
      </w:r>
    </w:p>
    <w:p w14:paraId="563977DD" w14:textId="0A0352C1" w:rsidR="00090948" w:rsidRDefault="00090948" w:rsidP="0079443E">
      <w:pPr>
        <w:pStyle w:val="Heading3"/>
        <w:jc w:val="both"/>
      </w:pPr>
      <w:r>
        <w:t>Demonstrated data collection for outcomes</w:t>
      </w:r>
    </w:p>
    <w:p w14:paraId="3C8A707C" w14:textId="5621462A" w:rsidR="00090948" w:rsidRPr="0079443E" w:rsidRDefault="00090948" w:rsidP="0079443E">
      <w:pPr>
        <w:jc w:val="both"/>
        <w:rPr>
          <w:rFonts w:cstheme="minorHAnsi"/>
          <w:sz w:val="22"/>
          <w:szCs w:val="22"/>
        </w:rPr>
      </w:pPr>
      <w:r w:rsidRPr="0079443E">
        <w:rPr>
          <w:rFonts w:cstheme="minorHAnsi"/>
          <w:sz w:val="22"/>
          <w:szCs w:val="22"/>
        </w:rPr>
        <w:t>Applicants should be able to provide data to support the projected outcomes of the project.</w:t>
      </w:r>
    </w:p>
    <w:p w14:paraId="558D9917" w14:textId="00F436D4" w:rsidR="00090948" w:rsidRDefault="00090948" w:rsidP="0079443E">
      <w:pPr>
        <w:pStyle w:val="Heading2"/>
        <w:jc w:val="both"/>
      </w:pPr>
      <w:bookmarkStart w:id="36" w:name="_Toc117606383"/>
      <w:r>
        <w:t>Project Efficiency and Feasibility</w:t>
      </w:r>
      <w:bookmarkEnd w:id="36"/>
    </w:p>
    <w:p w14:paraId="4A2E6C28" w14:textId="044C2C3C" w:rsidR="00090948" w:rsidRDefault="00090948" w:rsidP="0079443E">
      <w:pPr>
        <w:pStyle w:val="Heading3"/>
        <w:jc w:val="both"/>
      </w:pPr>
      <w:r>
        <w:t>Project Long Term Viability</w:t>
      </w:r>
    </w:p>
    <w:p w14:paraId="7949B6A3" w14:textId="4043E8CC" w:rsidR="00090948" w:rsidRPr="0079443E" w:rsidRDefault="00090948" w:rsidP="00FE1C38">
      <w:pPr>
        <w:jc w:val="both"/>
        <w:rPr>
          <w:rFonts w:cstheme="minorHAnsi"/>
          <w:sz w:val="22"/>
          <w:szCs w:val="22"/>
        </w:rPr>
      </w:pPr>
      <w:r w:rsidRPr="0079443E">
        <w:rPr>
          <w:rFonts w:cstheme="minorHAnsi"/>
          <w:sz w:val="22"/>
          <w:szCs w:val="22"/>
        </w:rPr>
        <w:t xml:space="preserve">Applicants must provide evidence or </w:t>
      </w:r>
      <w:proofErr w:type="gramStart"/>
      <w:r w:rsidRPr="0079443E">
        <w:rPr>
          <w:rFonts w:cstheme="minorHAnsi"/>
          <w:sz w:val="22"/>
          <w:szCs w:val="22"/>
        </w:rPr>
        <w:t>proforma</w:t>
      </w:r>
      <w:proofErr w:type="gramEnd"/>
      <w:r w:rsidRPr="0079443E">
        <w:rPr>
          <w:rFonts w:cstheme="minorHAnsi"/>
          <w:sz w:val="22"/>
          <w:szCs w:val="22"/>
        </w:rPr>
        <w:t xml:space="preserve"> the project costs will be substantially fulfilled by all sources of project funding to projects needs for long term viability. Documentation should include forecasts of costs and expenses incurred </w:t>
      </w:r>
      <w:proofErr w:type="gramStart"/>
      <w:r w:rsidRPr="0079443E">
        <w:rPr>
          <w:rFonts w:cstheme="minorHAnsi"/>
          <w:sz w:val="22"/>
          <w:szCs w:val="22"/>
        </w:rPr>
        <w:t>of</w:t>
      </w:r>
      <w:proofErr w:type="gramEnd"/>
      <w:r w:rsidRPr="0079443E">
        <w:rPr>
          <w:rFonts w:cstheme="minorHAnsi"/>
          <w:sz w:val="22"/>
          <w:szCs w:val="22"/>
        </w:rPr>
        <w:t xml:space="preserve"> the life of the project through the affordability period.</w:t>
      </w:r>
    </w:p>
    <w:p w14:paraId="0846A45E" w14:textId="5474AA28" w:rsidR="00090948" w:rsidRDefault="00090948" w:rsidP="0079443E">
      <w:pPr>
        <w:pStyle w:val="Heading3"/>
        <w:jc w:val="both"/>
      </w:pPr>
      <w:r>
        <w:t>Project includes trained recovery housing staff</w:t>
      </w:r>
    </w:p>
    <w:p w14:paraId="1AB09979" w14:textId="3FF4C737" w:rsidR="00090948" w:rsidRPr="0079443E" w:rsidRDefault="00090948" w:rsidP="00FE1C38">
      <w:pPr>
        <w:jc w:val="both"/>
        <w:rPr>
          <w:rFonts w:cstheme="minorHAnsi"/>
          <w:sz w:val="22"/>
          <w:szCs w:val="22"/>
        </w:rPr>
      </w:pPr>
      <w:r w:rsidRPr="0079443E">
        <w:rPr>
          <w:rFonts w:cstheme="minorHAnsi"/>
          <w:sz w:val="22"/>
          <w:szCs w:val="22"/>
        </w:rPr>
        <w:t>To ensure adequate staffing to meet the unique deman</w:t>
      </w:r>
      <w:r w:rsidR="005D38D3" w:rsidRPr="0079443E">
        <w:rPr>
          <w:rFonts w:cstheme="minorHAnsi"/>
          <w:sz w:val="22"/>
          <w:szCs w:val="22"/>
        </w:rPr>
        <w:t>ds of a Recovery Housing Project, applicants must provide resumes of management and recovery housing staff.</w:t>
      </w:r>
    </w:p>
    <w:p w14:paraId="2C8B6512" w14:textId="46F18F5A" w:rsidR="005D38D3" w:rsidRDefault="005D38D3" w:rsidP="0079443E">
      <w:pPr>
        <w:pStyle w:val="Heading3"/>
        <w:jc w:val="both"/>
      </w:pPr>
      <w:r>
        <w:t>Demonstrated capacity and experience to carry out the project</w:t>
      </w:r>
    </w:p>
    <w:p w14:paraId="0A7AE81B" w14:textId="4C5BB56A" w:rsidR="005D38D3" w:rsidRPr="0079443E" w:rsidRDefault="005D38D3" w:rsidP="00FE1C38">
      <w:pPr>
        <w:jc w:val="both"/>
        <w:rPr>
          <w:rFonts w:cstheme="minorHAnsi"/>
          <w:sz w:val="22"/>
          <w:szCs w:val="22"/>
        </w:rPr>
      </w:pPr>
      <w:r w:rsidRPr="0079443E">
        <w:rPr>
          <w:rFonts w:cstheme="minorHAnsi"/>
          <w:sz w:val="22"/>
          <w:szCs w:val="22"/>
        </w:rPr>
        <w:t>To demonstrate capacity, applicants must provide evidence of years in experience in recovery housing, evidence of established partnerships.</w:t>
      </w:r>
    </w:p>
    <w:p w14:paraId="754B8DE7" w14:textId="0F5414DB" w:rsidR="005D38D3" w:rsidRDefault="005D38D3" w:rsidP="0079443E">
      <w:pPr>
        <w:pStyle w:val="Heading3"/>
        <w:jc w:val="both"/>
      </w:pPr>
      <w:r>
        <w:t>Project cost effectiveness and reasonability</w:t>
      </w:r>
    </w:p>
    <w:p w14:paraId="2169BB57" w14:textId="2A4BA424" w:rsidR="005D38D3" w:rsidRPr="0079443E" w:rsidRDefault="005D38D3" w:rsidP="00FE1C38">
      <w:pPr>
        <w:jc w:val="both"/>
        <w:rPr>
          <w:rFonts w:cstheme="minorHAnsi"/>
          <w:sz w:val="22"/>
          <w:szCs w:val="22"/>
        </w:rPr>
      </w:pPr>
      <w:r w:rsidRPr="0079443E">
        <w:rPr>
          <w:rFonts w:cstheme="minorHAnsi"/>
          <w:sz w:val="22"/>
          <w:szCs w:val="22"/>
        </w:rPr>
        <w:t xml:space="preserve">Applicants must provide appraisals and proposed costs to demonstrate cost effectiveness and  reasonability. </w:t>
      </w:r>
    </w:p>
    <w:p w14:paraId="098F240F" w14:textId="77777777" w:rsidR="006D306C" w:rsidRPr="00340EE8" w:rsidRDefault="006D306C" w:rsidP="0079443E">
      <w:pPr>
        <w:pStyle w:val="Heading1"/>
        <w:jc w:val="both"/>
        <w:rPr>
          <w:rFonts w:cstheme="minorHAnsi"/>
        </w:rPr>
      </w:pPr>
      <w:bookmarkStart w:id="37" w:name="_Toc104210918"/>
      <w:bookmarkStart w:id="38" w:name="_Toc117606384"/>
      <w:bookmarkEnd w:id="34"/>
      <w:r w:rsidRPr="00340EE8">
        <w:rPr>
          <w:rFonts w:cstheme="minorHAnsi"/>
        </w:rPr>
        <w:t>Definitions</w:t>
      </w:r>
      <w:bookmarkEnd w:id="37"/>
      <w:bookmarkEnd w:id="38"/>
    </w:p>
    <w:p w14:paraId="53671037" w14:textId="7EE133F9" w:rsidR="006D306C" w:rsidRPr="00340EE8" w:rsidRDefault="006D306C" w:rsidP="0079443E">
      <w:pPr>
        <w:pStyle w:val="Heading2"/>
        <w:jc w:val="both"/>
        <w:rPr>
          <w:rFonts w:cstheme="minorHAnsi"/>
        </w:rPr>
      </w:pPr>
      <w:bookmarkStart w:id="39" w:name="_Toc104210919"/>
      <w:bookmarkStart w:id="40" w:name="_Toc117606385"/>
      <w:r w:rsidRPr="00340EE8">
        <w:rPr>
          <w:rFonts w:cstheme="minorHAnsi"/>
        </w:rPr>
        <w:t>Individual in Recovery</w:t>
      </w:r>
      <w:bookmarkEnd w:id="39"/>
      <w:bookmarkEnd w:id="40"/>
    </w:p>
    <w:p w14:paraId="33E5F3BC" w14:textId="24867A13" w:rsidR="006D306C" w:rsidRDefault="006D306C" w:rsidP="00FE1C38">
      <w:pPr>
        <w:jc w:val="both"/>
        <w:rPr>
          <w:rFonts w:cstheme="minorHAnsi"/>
          <w:sz w:val="22"/>
          <w:szCs w:val="22"/>
        </w:rPr>
      </w:pPr>
      <w:r w:rsidRPr="00340EE8">
        <w:rPr>
          <w:rFonts w:cstheme="minorHAnsi"/>
          <w:sz w:val="22"/>
          <w:szCs w:val="22"/>
        </w:rPr>
        <w:t>A person that is in the process of change to improve their health and wellness, live a self-directed life, and strive to reach their full potential.</w:t>
      </w:r>
    </w:p>
    <w:p w14:paraId="025B3155" w14:textId="77777777" w:rsidR="00A36B89" w:rsidRPr="00340EE8" w:rsidRDefault="00A36B89" w:rsidP="00FE1C38">
      <w:pPr>
        <w:jc w:val="both"/>
        <w:rPr>
          <w:rFonts w:cstheme="minorHAnsi"/>
          <w:sz w:val="22"/>
          <w:szCs w:val="22"/>
        </w:rPr>
      </w:pPr>
    </w:p>
    <w:p w14:paraId="17C44067" w14:textId="77777777" w:rsidR="006D306C" w:rsidRPr="00340EE8" w:rsidRDefault="006D306C" w:rsidP="0079443E">
      <w:pPr>
        <w:pStyle w:val="Heading2"/>
        <w:jc w:val="both"/>
        <w:rPr>
          <w:rFonts w:cstheme="minorHAnsi"/>
        </w:rPr>
      </w:pPr>
      <w:bookmarkStart w:id="41" w:name="_Toc104210920"/>
      <w:bookmarkStart w:id="42" w:name="_Toc117606386"/>
      <w:r w:rsidRPr="00340EE8">
        <w:rPr>
          <w:rFonts w:cstheme="minorHAnsi"/>
        </w:rPr>
        <w:lastRenderedPageBreak/>
        <w:t>Substance Use Disorder</w:t>
      </w:r>
      <w:bookmarkEnd w:id="41"/>
      <w:bookmarkEnd w:id="42"/>
    </w:p>
    <w:p w14:paraId="5EE75F5F" w14:textId="77777777" w:rsidR="006D306C" w:rsidRPr="00340EE8" w:rsidRDefault="006D306C" w:rsidP="00FE1C38">
      <w:pPr>
        <w:jc w:val="both"/>
        <w:rPr>
          <w:rFonts w:cstheme="minorHAnsi"/>
          <w:sz w:val="22"/>
          <w:szCs w:val="22"/>
        </w:rPr>
      </w:pPr>
      <w:r w:rsidRPr="00340EE8">
        <w:rPr>
          <w:rFonts w:cstheme="minorHAnsi"/>
          <w:sz w:val="22"/>
          <w:szCs w:val="22"/>
        </w:rPr>
        <w:t>As defined by Substance Abuse and Mental Health Services Administration (SAMHSA) - the recurrent use of alcohol and/or drugs causing clinically significant impairment, including health problems, disability, and failure to meet major responsibilities at work, school, or home.</w:t>
      </w:r>
    </w:p>
    <w:p w14:paraId="6D42A2F0" w14:textId="77777777" w:rsidR="006D306C" w:rsidRPr="00340EE8" w:rsidRDefault="006D306C" w:rsidP="0079443E">
      <w:pPr>
        <w:pStyle w:val="Heading2"/>
        <w:jc w:val="both"/>
        <w:rPr>
          <w:rFonts w:cstheme="minorHAnsi"/>
        </w:rPr>
      </w:pPr>
      <w:bookmarkStart w:id="43" w:name="_Toc104210921"/>
      <w:bookmarkStart w:id="44" w:name="_Toc117606387"/>
      <w:r w:rsidRPr="00340EE8">
        <w:rPr>
          <w:rFonts w:cstheme="minorHAnsi"/>
        </w:rPr>
        <w:t>Recovery Residence</w:t>
      </w:r>
      <w:bookmarkEnd w:id="43"/>
      <w:bookmarkEnd w:id="44"/>
    </w:p>
    <w:p w14:paraId="1962302E" w14:textId="6BE436EC" w:rsidR="00A77D94" w:rsidRPr="00340EE8" w:rsidRDefault="006D306C" w:rsidP="00FE1C38">
      <w:pPr>
        <w:jc w:val="both"/>
        <w:rPr>
          <w:rFonts w:cstheme="minorHAnsi"/>
          <w:sz w:val="22"/>
          <w:szCs w:val="22"/>
        </w:rPr>
      </w:pPr>
      <w:r w:rsidRPr="00340EE8">
        <w:rPr>
          <w:rFonts w:cstheme="minorHAnsi"/>
          <w:sz w:val="22"/>
          <w:szCs w:val="22"/>
        </w:rPr>
        <w:t>A recovery residence may be a single-family home or apartment that provides a safe, healthy, and substance- free living environment for persons recovering from a substance use disorder. Recovery residences generally provide peer support and a connection to services that promote long-term recovery.</w:t>
      </w:r>
    </w:p>
    <w:p w14:paraId="281D41F9" w14:textId="6484918D" w:rsidR="006D306C" w:rsidRPr="00340EE8" w:rsidRDefault="006D306C" w:rsidP="0079443E">
      <w:pPr>
        <w:pStyle w:val="Heading1"/>
        <w:jc w:val="both"/>
        <w:rPr>
          <w:rFonts w:cstheme="minorHAnsi"/>
        </w:rPr>
      </w:pPr>
      <w:bookmarkStart w:id="45" w:name="_Toc104210922"/>
      <w:bookmarkStart w:id="46" w:name="_Toc117606388"/>
      <w:r w:rsidRPr="00340EE8">
        <w:rPr>
          <w:rFonts w:cstheme="minorHAnsi"/>
        </w:rPr>
        <w:t>Anticipated Outcomes and Expenditure Plan</w:t>
      </w:r>
      <w:bookmarkEnd w:id="45"/>
      <w:bookmarkEnd w:id="46"/>
    </w:p>
    <w:p w14:paraId="19B158B2" w14:textId="473467CE" w:rsidR="006D306C" w:rsidRPr="00340EE8" w:rsidRDefault="006D306C" w:rsidP="0079443E">
      <w:pPr>
        <w:pStyle w:val="Heading2"/>
        <w:jc w:val="both"/>
        <w:rPr>
          <w:rFonts w:cstheme="minorHAnsi"/>
        </w:rPr>
      </w:pPr>
      <w:bookmarkStart w:id="47" w:name="_Toc104210923"/>
      <w:bookmarkStart w:id="48" w:name="_Toc117606389"/>
      <w:r w:rsidRPr="00340EE8">
        <w:rPr>
          <w:rFonts w:cstheme="minorHAnsi"/>
        </w:rPr>
        <w:t>Anticipated Outcomes</w:t>
      </w:r>
      <w:bookmarkEnd w:id="47"/>
      <w:bookmarkEnd w:id="48"/>
    </w:p>
    <w:p w14:paraId="6253C180" w14:textId="0CC9DE67" w:rsidR="005D38D3" w:rsidRPr="0079443E" w:rsidRDefault="005D38D3" w:rsidP="00FE1C38">
      <w:pPr>
        <w:jc w:val="both"/>
        <w:rPr>
          <w:rFonts w:cstheme="minorHAnsi"/>
          <w:sz w:val="22"/>
          <w:szCs w:val="22"/>
        </w:rPr>
      </w:pPr>
      <w:r w:rsidRPr="0079443E">
        <w:rPr>
          <w:rFonts w:cstheme="minorHAnsi"/>
          <w:sz w:val="22"/>
          <w:szCs w:val="22"/>
        </w:rPr>
        <w:t>Upon Approval of the RHP Action Plan, MFA will issue a NOFA and conduct a RHP NOFA training for interested agencies. These agencies will have the opportunity to work with an RHP Technical Assistance company to assist each agency to meet minimum qualification and scoring criteria.</w:t>
      </w:r>
    </w:p>
    <w:p w14:paraId="149F3A31" w14:textId="55D187CE" w:rsidR="006D306C" w:rsidRPr="00340EE8" w:rsidRDefault="006D306C" w:rsidP="00FE1C38">
      <w:pPr>
        <w:jc w:val="both"/>
        <w:rPr>
          <w:rFonts w:cstheme="minorHAnsi"/>
          <w:sz w:val="22"/>
          <w:szCs w:val="22"/>
        </w:rPr>
      </w:pPr>
      <w:r w:rsidRPr="00340EE8">
        <w:rPr>
          <w:rFonts w:cstheme="minorHAnsi"/>
          <w:sz w:val="22"/>
          <w:szCs w:val="22"/>
        </w:rPr>
        <w:t xml:space="preserve">RHP will serve approximately 20-25 individuals directly related to SUD. Additional qualified </w:t>
      </w:r>
      <w:r w:rsidR="004D0348" w:rsidRPr="00340EE8">
        <w:rPr>
          <w:rFonts w:cstheme="minorHAnsi"/>
          <w:sz w:val="22"/>
          <w:szCs w:val="22"/>
        </w:rPr>
        <w:t>application</w:t>
      </w:r>
      <w:r w:rsidRPr="00340EE8">
        <w:rPr>
          <w:rFonts w:cstheme="minorHAnsi"/>
          <w:sz w:val="22"/>
          <w:szCs w:val="22"/>
        </w:rPr>
        <w:t>s will increase the number of individuals served. Based on the history of potential partners, fifty to sixty percent of individuals will be successfully transitioned to permanent housing.</w:t>
      </w:r>
    </w:p>
    <w:p w14:paraId="3B8819C1" w14:textId="29D26F5B" w:rsidR="006D306C" w:rsidRPr="00340EE8" w:rsidRDefault="006D306C" w:rsidP="0079443E">
      <w:pPr>
        <w:pStyle w:val="Heading2"/>
        <w:jc w:val="both"/>
        <w:rPr>
          <w:rFonts w:cstheme="minorHAnsi"/>
        </w:rPr>
      </w:pPr>
      <w:bookmarkStart w:id="49" w:name="_Toc104210924"/>
      <w:bookmarkStart w:id="50" w:name="_Toc117606390"/>
      <w:r w:rsidRPr="00340EE8">
        <w:rPr>
          <w:rFonts w:cstheme="minorHAnsi"/>
        </w:rPr>
        <w:t>Expenditure Plan</w:t>
      </w:r>
      <w:bookmarkEnd w:id="49"/>
      <w:bookmarkEnd w:id="50"/>
    </w:p>
    <w:p w14:paraId="0D5C83C3" w14:textId="482DBA41" w:rsidR="006D306C" w:rsidRPr="00340EE8" w:rsidRDefault="006D306C" w:rsidP="00FE1C38">
      <w:pPr>
        <w:jc w:val="both"/>
        <w:rPr>
          <w:rFonts w:cstheme="minorHAnsi"/>
          <w:sz w:val="22"/>
          <w:szCs w:val="22"/>
        </w:rPr>
      </w:pPr>
      <w:r w:rsidRPr="00340EE8">
        <w:rPr>
          <w:rFonts w:cstheme="minorHAnsi"/>
          <w:sz w:val="22"/>
          <w:szCs w:val="22"/>
        </w:rPr>
        <w:t>MFA will comply with all RHP guidelines and expend at least 30% of the funds within year one as required. We anticipate spending 100% of the RHP funds within the first year. The need for appropriate recovery housing to fill gaps in New Mexico is substantial and based on the state’s capacity and availability of agencies to provide recovery services, we do not anticipate any type of barrier to expending funds expediently and effectively.</w:t>
      </w:r>
    </w:p>
    <w:p w14:paraId="31378C9C" w14:textId="7F82FD07" w:rsidR="006D306C" w:rsidRPr="00340EE8" w:rsidRDefault="006D306C" w:rsidP="00FE1C38">
      <w:pPr>
        <w:jc w:val="both"/>
        <w:rPr>
          <w:rFonts w:cstheme="minorHAnsi"/>
          <w:sz w:val="22"/>
          <w:szCs w:val="22"/>
        </w:rPr>
      </w:pPr>
      <w:r w:rsidRPr="00340EE8">
        <w:rPr>
          <w:rFonts w:cstheme="minorHAnsi"/>
          <w:sz w:val="22"/>
          <w:szCs w:val="22"/>
        </w:rPr>
        <w:t>Administrative costs will not exceed the five percent (5%) of New Mexico’s RHP allocation. MFA does not anticipate receiving program income f</w:t>
      </w:r>
      <w:r w:rsidR="00585DD0" w:rsidRPr="00340EE8">
        <w:rPr>
          <w:rFonts w:cstheme="minorHAnsi"/>
          <w:sz w:val="22"/>
          <w:szCs w:val="22"/>
        </w:rPr>
        <w:t>rom</w:t>
      </w:r>
      <w:r w:rsidRPr="00340EE8">
        <w:rPr>
          <w:rFonts w:cstheme="minorHAnsi"/>
          <w:sz w:val="22"/>
          <w:szCs w:val="22"/>
        </w:rPr>
        <w:t xml:space="preserve"> RHP eligible activities.</w:t>
      </w:r>
    </w:p>
    <w:p w14:paraId="3B19FC10" w14:textId="4CD0B40D" w:rsidR="006D306C" w:rsidRPr="00340EE8" w:rsidRDefault="006D306C" w:rsidP="0079443E">
      <w:pPr>
        <w:pStyle w:val="Heading1"/>
        <w:jc w:val="both"/>
        <w:rPr>
          <w:rFonts w:cstheme="minorHAnsi"/>
        </w:rPr>
      </w:pPr>
      <w:bookmarkStart w:id="51" w:name="_Toc104210925"/>
      <w:bookmarkStart w:id="52" w:name="_Toc117606391"/>
      <w:r w:rsidRPr="00340EE8">
        <w:rPr>
          <w:rFonts w:cstheme="minorHAnsi"/>
        </w:rPr>
        <w:t>Citizen Participation Summary</w:t>
      </w:r>
      <w:bookmarkEnd w:id="51"/>
      <w:bookmarkEnd w:id="52"/>
    </w:p>
    <w:p w14:paraId="6EE7BEE9" w14:textId="77777777" w:rsidR="006D306C" w:rsidRPr="00340EE8" w:rsidRDefault="006D306C" w:rsidP="00FE1C38">
      <w:pPr>
        <w:jc w:val="both"/>
        <w:rPr>
          <w:rFonts w:cstheme="minorHAnsi"/>
          <w:sz w:val="22"/>
          <w:szCs w:val="22"/>
        </w:rPr>
      </w:pPr>
      <w:r w:rsidRPr="00340EE8">
        <w:rPr>
          <w:rFonts w:cstheme="minorHAnsi"/>
          <w:sz w:val="22"/>
          <w:szCs w:val="22"/>
        </w:rPr>
        <w:t>The RHP Action Plan is subject to MFA’s process for substantial amendments in the citizen participation plan (CPP) excerpted below.</w:t>
      </w:r>
    </w:p>
    <w:p w14:paraId="4B93ED53" w14:textId="77777777" w:rsidR="006D306C" w:rsidRPr="00340EE8" w:rsidRDefault="006D306C" w:rsidP="00FE1C38">
      <w:pPr>
        <w:jc w:val="both"/>
        <w:rPr>
          <w:rFonts w:cstheme="minorHAnsi"/>
          <w:sz w:val="22"/>
          <w:szCs w:val="22"/>
        </w:rPr>
      </w:pPr>
      <w:r w:rsidRPr="00340EE8">
        <w:rPr>
          <w:rFonts w:cstheme="minorHAnsi"/>
          <w:sz w:val="22"/>
          <w:szCs w:val="22"/>
        </w:rPr>
        <w:t>There must be reasonable notice of a proposed substantial amendment so that residents of the affected areas of the state will have an opportunity to review it and comment on it. Notice will be made according to the procedures described herein with the addition of the following procedures specifically for substantial amendments:</w:t>
      </w:r>
    </w:p>
    <w:p w14:paraId="05046C96" w14:textId="1485BABA" w:rsidR="006D306C" w:rsidRPr="00340EE8" w:rsidRDefault="006D306C" w:rsidP="00FE1C38">
      <w:pPr>
        <w:pStyle w:val="ListParagraph"/>
        <w:numPr>
          <w:ilvl w:val="0"/>
          <w:numId w:val="1"/>
        </w:numPr>
        <w:jc w:val="both"/>
        <w:rPr>
          <w:rFonts w:cstheme="minorHAnsi"/>
          <w:sz w:val="22"/>
          <w:szCs w:val="22"/>
        </w:rPr>
      </w:pPr>
      <w:r w:rsidRPr="00340EE8">
        <w:rPr>
          <w:rFonts w:cstheme="minorHAnsi"/>
          <w:sz w:val="22"/>
          <w:szCs w:val="22"/>
        </w:rPr>
        <w:t xml:space="preserve">Issue a public notice upon release of the proposed substantial amendment announcing a thirty (30) day review and comment period and a public hearing regarding the proposed substantial </w:t>
      </w:r>
      <w:r w:rsidRPr="00340EE8">
        <w:rPr>
          <w:rFonts w:cstheme="minorHAnsi"/>
          <w:sz w:val="22"/>
          <w:szCs w:val="22"/>
        </w:rPr>
        <w:lastRenderedPageBreak/>
        <w:t xml:space="preserve">amendment after the review and comment period. Published notices will be in the Albuquerque Journal, the Santa Fe New Mexican, Las Cruces Sun </w:t>
      </w:r>
      <w:r w:rsidR="008D4C1D" w:rsidRPr="00340EE8">
        <w:rPr>
          <w:rFonts w:cstheme="minorHAnsi"/>
          <w:sz w:val="22"/>
          <w:szCs w:val="22"/>
        </w:rPr>
        <w:t>News,</w:t>
      </w:r>
      <w:r w:rsidRPr="00340EE8">
        <w:rPr>
          <w:rFonts w:cstheme="minorHAnsi"/>
          <w:sz w:val="22"/>
          <w:szCs w:val="22"/>
        </w:rPr>
        <w:t xml:space="preserve"> and other local newspapers, and on MFA’s website (http://www.housingnm.org/) and DFA’s website (http://nmdfa.state.nm.us/Local_Government.aspx) at least seven (7) days in advance of the hearing.</w:t>
      </w:r>
    </w:p>
    <w:p w14:paraId="15C66B65" w14:textId="17A9601B" w:rsidR="006D306C" w:rsidRDefault="006D306C" w:rsidP="00FE1C38">
      <w:pPr>
        <w:pStyle w:val="ListParagraph"/>
        <w:numPr>
          <w:ilvl w:val="0"/>
          <w:numId w:val="1"/>
        </w:numPr>
        <w:jc w:val="both"/>
        <w:rPr>
          <w:rFonts w:cstheme="minorHAnsi"/>
          <w:sz w:val="22"/>
          <w:szCs w:val="22"/>
        </w:rPr>
      </w:pPr>
      <w:r w:rsidRPr="00340EE8">
        <w:rPr>
          <w:rFonts w:cstheme="minorHAnsi"/>
          <w:sz w:val="22"/>
          <w:szCs w:val="22"/>
        </w:rPr>
        <w:t>Include a section in the final substantial amendment that presents all comments, plus explanations why any comments were not accepted.</w:t>
      </w:r>
    </w:p>
    <w:p w14:paraId="57D8A74D" w14:textId="1F530D5E" w:rsidR="005D38D3" w:rsidRPr="0079443E" w:rsidRDefault="005D38D3" w:rsidP="00FE1C38">
      <w:pPr>
        <w:jc w:val="both"/>
        <w:rPr>
          <w:rFonts w:cstheme="minorHAnsi"/>
          <w:sz w:val="22"/>
          <w:szCs w:val="22"/>
        </w:rPr>
      </w:pPr>
      <w:r w:rsidRPr="0079443E">
        <w:rPr>
          <w:rFonts w:cstheme="minorHAnsi"/>
          <w:sz w:val="22"/>
          <w:szCs w:val="22"/>
        </w:rPr>
        <w:t xml:space="preserve">MFA published the Recovery Housing Program Draft Action Plan on </w:t>
      </w:r>
      <w:r w:rsidR="005D2C0E" w:rsidRPr="0079443E">
        <w:rPr>
          <w:rFonts w:cstheme="minorHAnsi"/>
          <w:sz w:val="22"/>
          <w:szCs w:val="22"/>
        </w:rPr>
        <w:t xml:space="preserve">July 13, 2022.  </w:t>
      </w:r>
      <w:r w:rsidRPr="0079443E">
        <w:rPr>
          <w:rFonts w:cstheme="minorHAnsi"/>
          <w:sz w:val="22"/>
          <w:szCs w:val="22"/>
        </w:rPr>
        <w:t xml:space="preserve">The public comment period was from </w:t>
      </w:r>
      <w:r w:rsidR="005D2C0E" w:rsidRPr="0079443E">
        <w:rPr>
          <w:rFonts w:cstheme="minorHAnsi"/>
          <w:sz w:val="22"/>
          <w:szCs w:val="22"/>
        </w:rPr>
        <w:t xml:space="preserve">July 13, 2022, </w:t>
      </w:r>
      <w:r w:rsidRPr="0079443E">
        <w:rPr>
          <w:rFonts w:cstheme="minorHAnsi"/>
          <w:sz w:val="22"/>
          <w:szCs w:val="22"/>
        </w:rPr>
        <w:t xml:space="preserve">through </w:t>
      </w:r>
      <w:r w:rsidR="005D2C0E" w:rsidRPr="0079443E">
        <w:rPr>
          <w:rFonts w:cstheme="minorHAnsi"/>
          <w:sz w:val="22"/>
          <w:szCs w:val="22"/>
        </w:rPr>
        <w:t xml:space="preserve">August 12, 2022.  </w:t>
      </w:r>
      <w:r w:rsidRPr="0079443E">
        <w:rPr>
          <w:rFonts w:cstheme="minorHAnsi"/>
          <w:sz w:val="22"/>
          <w:szCs w:val="22"/>
        </w:rPr>
        <w:t xml:space="preserve">A public hearing was held on </w:t>
      </w:r>
      <w:r w:rsidR="005D2C0E" w:rsidRPr="0079443E">
        <w:rPr>
          <w:rFonts w:cstheme="minorHAnsi"/>
          <w:sz w:val="22"/>
          <w:szCs w:val="22"/>
        </w:rPr>
        <w:t>July 28, 202</w:t>
      </w:r>
      <w:r w:rsidR="00FE1C38">
        <w:rPr>
          <w:rFonts w:cstheme="minorHAnsi"/>
          <w:sz w:val="22"/>
          <w:szCs w:val="22"/>
        </w:rPr>
        <w:t>2</w:t>
      </w:r>
      <w:r w:rsidR="00295005">
        <w:rPr>
          <w:rFonts w:cstheme="minorHAnsi"/>
          <w:sz w:val="22"/>
          <w:szCs w:val="22"/>
        </w:rPr>
        <w:t xml:space="preserve">. </w:t>
      </w:r>
      <w:r w:rsidRPr="0079443E">
        <w:rPr>
          <w:rFonts w:cstheme="minorHAnsi"/>
          <w:sz w:val="22"/>
          <w:szCs w:val="22"/>
        </w:rPr>
        <w:t>The notice was published in both English and Spanish in the following newspapers: Albuquerque Journal, Santa Fe New Mexican, Eastern New Mexico News, Farmington Daily Times, Las Cruces Sun News, and Roswell Daily Record.</w:t>
      </w:r>
    </w:p>
    <w:p w14:paraId="2BE159D1" w14:textId="17C44831" w:rsidR="005D38D3" w:rsidRPr="0079443E" w:rsidRDefault="005D38D3" w:rsidP="00FE1C38">
      <w:pPr>
        <w:jc w:val="both"/>
        <w:rPr>
          <w:rFonts w:cstheme="minorHAnsi"/>
          <w:sz w:val="22"/>
          <w:szCs w:val="22"/>
        </w:rPr>
      </w:pPr>
      <w:r w:rsidRPr="0079443E">
        <w:rPr>
          <w:rFonts w:cstheme="minorHAnsi"/>
          <w:sz w:val="22"/>
          <w:szCs w:val="22"/>
        </w:rPr>
        <w:t>MFA did not receive any responses during the public comment period. There were no attendees at the public hearing.</w:t>
      </w:r>
    </w:p>
    <w:p w14:paraId="7812BE4E" w14:textId="7D982ACA" w:rsidR="006D306C" w:rsidRPr="00340EE8" w:rsidRDefault="006D306C" w:rsidP="0079443E">
      <w:pPr>
        <w:pStyle w:val="Heading1"/>
        <w:jc w:val="both"/>
        <w:rPr>
          <w:rFonts w:cstheme="minorHAnsi"/>
        </w:rPr>
      </w:pPr>
      <w:bookmarkStart w:id="53" w:name="_Toc104210926"/>
      <w:bookmarkStart w:id="54" w:name="_Toc117606392"/>
      <w:r w:rsidRPr="00340EE8">
        <w:rPr>
          <w:rFonts w:cstheme="minorHAnsi"/>
        </w:rPr>
        <w:t>Partner Coordination</w:t>
      </w:r>
      <w:bookmarkEnd w:id="53"/>
      <w:bookmarkEnd w:id="54"/>
    </w:p>
    <w:p w14:paraId="7A21DCD0" w14:textId="603C4DA4" w:rsidR="00DF4AF7" w:rsidRPr="00DF4AF7" w:rsidRDefault="00DF4AF7" w:rsidP="0079443E">
      <w:pPr>
        <w:jc w:val="both"/>
        <w:rPr>
          <w:rFonts w:cstheme="minorHAnsi"/>
          <w:sz w:val="22"/>
          <w:szCs w:val="22"/>
        </w:rPr>
      </w:pPr>
      <w:r w:rsidRPr="00DF4AF7">
        <w:rPr>
          <w:rFonts w:cstheme="minorHAnsi"/>
          <w:sz w:val="22"/>
          <w:szCs w:val="22"/>
        </w:rPr>
        <w:t>MFA met with community stakeholders and developed contacts through existing partnerships to create a list of prospects. MFA sent two email blasts to all prospects, followed by phone and hosted meetings with all respondents. MFA  has an extensive history of collaborating with diverse community stakeholders to ensure we meet organizational objectives and participant needs.</w:t>
      </w:r>
    </w:p>
    <w:p w14:paraId="7ED97B0F" w14:textId="0E0A85F1" w:rsidR="00D363C0" w:rsidRPr="0079443E" w:rsidRDefault="00D363C0" w:rsidP="0079443E">
      <w:pPr>
        <w:jc w:val="both"/>
        <w:rPr>
          <w:rFonts w:cstheme="minorHAnsi"/>
          <w:sz w:val="22"/>
          <w:szCs w:val="22"/>
        </w:rPr>
      </w:pPr>
      <w:r w:rsidRPr="0079443E">
        <w:rPr>
          <w:rFonts w:cstheme="minorHAnsi"/>
          <w:sz w:val="22"/>
          <w:szCs w:val="22"/>
        </w:rPr>
        <w:t xml:space="preserve">Collaboration Meetings and contacts were made </w:t>
      </w:r>
      <w:proofErr w:type="spellStart"/>
      <w:r w:rsidRPr="0079443E">
        <w:rPr>
          <w:rFonts w:cstheme="minorHAnsi"/>
          <w:sz w:val="22"/>
          <w:szCs w:val="22"/>
        </w:rPr>
        <w:t>with:New</w:t>
      </w:r>
      <w:proofErr w:type="spellEnd"/>
      <w:r w:rsidRPr="0079443E">
        <w:rPr>
          <w:rFonts w:cstheme="minorHAnsi"/>
          <w:sz w:val="22"/>
          <w:szCs w:val="22"/>
        </w:rPr>
        <w:t xml:space="preserve"> Mexico Supportive Housing and Learning Collaboration</w:t>
      </w:r>
    </w:p>
    <w:p w14:paraId="77BBEE50" w14:textId="50F44216" w:rsidR="00D363C0" w:rsidRPr="0079443E" w:rsidRDefault="00D363C0" w:rsidP="0079443E">
      <w:pPr>
        <w:pStyle w:val="ListParagraph"/>
        <w:numPr>
          <w:ilvl w:val="0"/>
          <w:numId w:val="10"/>
        </w:numPr>
        <w:jc w:val="both"/>
        <w:rPr>
          <w:rFonts w:cstheme="minorHAnsi"/>
          <w:sz w:val="22"/>
          <w:szCs w:val="22"/>
        </w:rPr>
      </w:pPr>
      <w:r w:rsidRPr="0079443E">
        <w:rPr>
          <w:rFonts w:cstheme="minorHAnsi"/>
          <w:sz w:val="22"/>
          <w:szCs w:val="22"/>
        </w:rPr>
        <w:t xml:space="preserve">Rio Arriba Board of County </w:t>
      </w:r>
      <w:r w:rsidR="00DF4AF7" w:rsidRPr="0079443E">
        <w:rPr>
          <w:rFonts w:cstheme="minorHAnsi"/>
          <w:sz w:val="22"/>
          <w:szCs w:val="22"/>
        </w:rPr>
        <w:t>Commissioners</w:t>
      </w:r>
    </w:p>
    <w:p w14:paraId="345C6C39" w14:textId="322A77E6" w:rsidR="00D363C0" w:rsidRPr="0079443E" w:rsidRDefault="00D363C0" w:rsidP="0079443E">
      <w:pPr>
        <w:pStyle w:val="ListParagraph"/>
        <w:numPr>
          <w:ilvl w:val="0"/>
          <w:numId w:val="10"/>
        </w:numPr>
        <w:jc w:val="both"/>
        <w:rPr>
          <w:rFonts w:cstheme="minorHAnsi"/>
          <w:sz w:val="22"/>
          <w:szCs w:val="22"/>
        </w:rPr>
      </w:pPr>
      <w:r w:rsidRPr="0079443E">
        <w:rPr>
          <w:rFonts w:cstheme="minorHAnsi"/>
          <w:sz w:val="22"/>
          <w:szCs w:val="22"/>
        </w:rPr>
        <w:t>Alianza of New Mexico</w:t>
      </w:r>
    </w:p>
    <w:p w14:paraId="22468B46" w14:textId="1F0D9715" w:rsidR="00D363C0" w:rsidRPr="0079443E" w:rsidRDefault="00D363C0" w:rsidP="0079443E">
      <w:pPr>
        <w:pStyle w:val="ListParagraph"/>
        <w:numPr>
          <w:ilvl w:val="0"/>
          <w:numId w:val="10"/>
        </w:numPr>
        <w:jc w:val="both"/>
        <w:rPr>
          <w:rFonts w:cstheme="minorHAnsi"/>
          <w:sz w:val="22"/>
          <w:szCs w:val="22"/>
        </w:rPr>
      </w:pPr>
      <w:r w:rsidRPr="0079443E">
        <w:rPr>
          <w:rFonts w:cstheme="minorHAnsi"/>
          <w:sz w:val="22"/>
          <w:szCs w:val="22"/>
        </w:rPr>
        <w:t xml:space="preserve">A Peaceful </w:t>
      </w:r>
      <w:r w:rsidR="00DF4AF7" w:rsidRPr="0079443E">
        <w:rPr>
          <w:rFonts w:cstheme="minorHAnsi"/>
          <w:sz w:val="22"/>
          <w:szCs w:val="22"/>
        </w:rPr>
        <w:t>Habitation</w:t>
      </w:r>
    </w:p>
    <w:p w14:paraId="6078D077" w14:textId="2655CDF2" w:rsidR="00D363C0" w:rsidRPr="0079443E" w:rsidRDefault="00D363C0" w:rsidP="0079443E">
      <w:pPr>
        <w:pStyle w:val="ListParagraph"/>
        <w:numPr>
          <w:ilvl w:val="0"/>
          <w:numId w:val="10"/>
        </w:numPr>
        <w:jc w:val="both"/>
        <w:rPr>
          <w:rFonts w:cstheme="minorHAnsi"/>
          <w:sz w:val="22"/>
          <w:szCs w:val="22"/>
        </w:rPr>
      </w:pPr>
      <w:r w:rsidRPr="0079443E">
        <w:rPr>
          <w:rFonts w:cstheme="minorHAnsi"/>
          <w:sz w:val="22"/>
          <w:szCs w:val="22"/>
        </w:rPr>
        <w:t>The Fletcher Group</w:t>
      </w:r>
    </w:p>
    <w:p w14:paraId="44CA861E" w14:textId="5414112C" w:rsidR="00D363C0" w:rsidRPr="0079443E" w:rsidRDefault="00D363C0" w:rsidP="0079443E">
      <w:pPr>
        <w:pStyle w:val="ListParagraph"/>
        <w:numPr>
          <w:ilvl w:val="0"/>
          <w:numId w:val="10"/>
        </w:numPr>
        <w:jc w:val="both"/>
        <w:rPr>
          <w:rFonts w:cstheme="minorHAnsi"/>
          <w:sz w:val="22"/>
          <w:szCs w:val="22"/>
        </w:rPr>
      </w:pPr>
      <w:r w:rsidRPr="0079443E">
        <w:rPr>
          <w:rFonts w:cstheme="minorHAnsi"/>
          <w:sz w:val="22"/>
          <w:szCs w:val="22"/>
        </w:rPr>
        <w:t>Silver City Gospel Mission</w:t>
      </w:r>
    </w:p>
    <w:p w14:paraId="20E3A7D1" w14:textId="0D19F769" w:rsidR="00D363C0" w:rsidRPr="0079443E" w:rsidRDefault="00D363C0" w:rsidP="0079443E">
      <w:pPr>
        <w:jc w:val="both"/>
        <w:rPr>
          <w:rFonts w:cstheme="minorHAnsi"/>
          <w:sz w:val="22"/>
          <w:szCs w:val="22"/>
        </w:rPr>
      </w:pPr>
      <w:r w:rsidRPr="0079443E">
        <w:rPr>
          <w:rFonts w:cstheme="minorHAnsi"/>
          <w:sz w:val="22"/>
          <w:szCs w:val="22"/>
        </w:rPr>
        <w:t>Outreach was sent via email blasts and phone calls to:</w:t>
      </w:r>
    </w:p>
    <w:p w14:paraId="3835363C" w14:textId="7FBD7122" w:rsidR="00D363C0" w:rsidRPr="0079443E" w:rsidRDefault="00FE1C38" w:rsidP="0079443E">
      <w:pPr>
        <w:pStyle w:val="ListParagraph"/>
        <w:numPr>
          <w:ilvl w:val="0"/>
          <w:numId w:val="11"/>
        </w:numPr>
        <w:jc w:val="both"/>
        <w:rPr>
          <w:rFonts w:cstheme="minorHAnsi"/>
          <w:sz w:val="22"/>
          <w:szCs w:val="22"/>
        </w:rPr>
      </w:pPr>
      <w:r w:rsidRPr="00FE1C38">
        <w:rPr>
          <w:rFonts w:cstheme="minorHAnsi"/>
          <w:sz w:val="22"/>
          <w:szCs w:val="22"/>
        </w:rPr>
        <w:t>Albuquerque</w:t>
      </w:r>
      <w:r w:rsidR="00DF4AF7" w:rsidRPr="0079443E">
        <w:rPr>
          <w:rFonts w:cstheme="minorHAnsi"/>
          <w:sz w:val="22"/>
          <w:szCs w:val="22"/>
        </w:rPr>
        <w:t xml:space="preserve"> Healthcare for the Homeless, Inc.</w:t>
      </w:r>
    </w:p>
    <w:p w14:paraId="3BC2DFCA" w14:textId="1013D10D" w:rsidR="00DF4AF7" w:rsidRPr="0079443E" w:rsidRDefault="00DF4AF7" w:rsidP="0079443E">
      <w:pPr>
        <w:pStyle w:val="ListParagraph"/>
        <w:numPr>
          <w:ilvl w:val="0"/>
          <w:numId w:val="11"/>
        </w:numPr>
        <w:jc w:val="both"/>
        <w:rPr>
          <w:rFonts w:cstheme="minorHAnsi"/>
          <w:sz w:val="22"/>
          <w:szCs w:val="22"/>
        </w:rPr>
      </w:pPr>
      <w:r w:rsidRPr="0079443E">
        <w:rPr>
          <w:rFonts w:cstheme="minorHAnsi"/>
          <w:sz w:val="22"/>
          <w:szCs w:val="22"/>
        </w:rPr>
        <w:t>Alianza of New Mexico</w:t>
      </w:r>
    </w:p>
    <w:p w14:paraId="6347A661" w14:textId="5743E092" w:rsidR="00DF4AF7" w:rsidRPr="0079443E" w:rsidRDefault="00DF4AF7" w:rsidP="0079443E">
      <w:pPr>
        <w:pStyle w:val="ListParagraph"/>
        <w:numPr>
          <w:ilvl w:val="0"/>
          <w:numId w:val="11"/>
        </w:numPr>
        <w:jc w:val="both"/>
        <w:rPr>
          <w:rFonts w:cstheme="minorHAnsi"/>
          <w:sz w:val="22"/>
          <w:szCs w:val="22"/>
        </w:rPr>
      </w:pPr>
      <w:r w:rsidRPr="0079443E">
        <w:rPr>
          <w:rFonts w:cstheme="minorHAnsi"/>
          <w:sz w:val="22"/>
          <w:szCs w:val="22"/>
        </w:rPr>
        <w:t>All Faiths Receiving Home</w:t>
      </w:r>
    </w:p>
    <w:p w14:paraId="620B23B8" w14:textId="275C2CCF" w:rsidR="00DF4AF7" w:rsidRPr="0079443E" w:rsidRDefault="00DF4AF7" w:rsidP="0079443E">
      <w:pPr>
        <w:pStyle w:val="ListParagraph"/>
        <w:numPr>
          <w:ilvl w:val="0"/>
          <w:numId w:val="11"/>
        </w:numPr>
        <w:jc w:val="both"/>
        <w:rPr>
          <w:rFonts w:cstheme="minorHAnsi"/>
          <w:sz w:val="22"/>
          <w:szCs w:val="22"/>
        </w:rPr>
      </w:pPr>
      <w:r w:rsidRPr="0079443E">
        <w:rPr>
          <w:rFonts w:cstheme="minorHAnsi"/>
          <w:sz w:val="22"/>
          <w:szCs w:val="22"/>
        </w:rPr>
        <w:t>Amistad Crisis Shelter – YDI</w:t>
      </w:r>
    </w:p>
    <w:p w14:paraId="6A98FD3E" w14:textId="779EA170" w:rsidR="00DF4AF7" w:rsidRPr="0079443E" w:rsidRDefault="00DF4AF7" w:rsidP="0079443E">
      <w:pPr>
        <w:pStyle w:val="ListParagraph"/>
        <w:numPr>
          <w:ilvl w:val="0"/>
          <w:numId w:val="11"/>
        </w:numPr>
        <w:jc w:val="both"/>
        <w:rPr>
          <w:rFonts w:cstheme="minorHAnsi"/>
          <w:sz w:val="22"/>
          <w:szCs w:val="22"/>
        </w:rPr>
      </w:pPr>
      <w:r w:rsidRPr="0079443E">
        <w:rPr>
          <w:rFonts w:cstheme="minorHAnsi"/>
          <w:sz w:val="22"/>
          <w:szCs w:val="22"/>
        </w:rPr>
        <w:t>Catholic Charities</w:t>
      </w:r>
    </w:p>
    <w:p w14:paraId="1BA444FE" w14:textId="32E837D1" w:rsidR="00DF4AF7" w:rsidRPr="0079443E" w:rsidRDefault="00DF4AF7" w:rsidP="0079443E">
      <w:pPr>
        <w:pStyle w:val="ListParagraph"/>
        <w:numPr>
          <w:ilvl w:val="0"/>
          <w:numId w:val="11"/>
        </w:numPr>
        <w:jc w:val="both"/>
        <w:rPr>
          <w:rFonts w:cstheme="minorHAnsi"/>
          <w:sz w:val="22"/>
          <w:szCs w:val="22"/>
        </w:rPr>
      </w:pPr>
      <w:r w:rsidRPr="0079443E">
        <w:rPr>
          <w:rFonts w:cstheme="minorHAnsi"/>
          <w:sz w:val="22"/>
          <w:szCs w:val="22"/>
        </w:rPr>
        <w:t>Child Haven</w:t>
      </w:r>
    </w:p>
    <w:p w14:paraId="11B21A41" w14:textId="2B41A7F6" w:rsidR="00DF4AF7" w:rsidRPr="0079443E" w:rsidRDefault="00DF4AF7" w:rsidP="0079443E">
      <w:pPr>
        <w:pStyle w:val="ListParagraph"/>
        <w:numPr>
          <w:ilvl w:val="0"/>
          <w:numId w:val="11"/>
        </w:numPr>
        <w:jc w:val="both"/>
        <w:rPr>
          <w:rFonts w:cstheme="minorHAnsi"/>
          <w:sz w:val="22"/>
          <w:szCs w:val="22"/>
        </w:rPr>
      </w:pPr>
      <w:r w:rsidRPr="0079443E">
        <w:rPr>
          <w:rFonts w:cstheme="minorHAnsi"/>
          <w:sz w:val="22"/>
          <w:szCs w:val="22"/>
        </w:rPr>
        <w:t>City of Espanola</w:t>
      </w:r>
    </w:p>
    <w:p w14:paraId="10D5625C" w14:textId="7B7F0C54" w:rsidR="00DF4AF7" w:rsidRPr="0079443E" w:rsidRDefault="00DF4AF7" w:rsidP="0079443E">
      <w:pPr>
        <w:pStyle w:val="ListParagraph"/>
        <w:numPr>
          <w:ilvl w:val="0"/>
          <w:numId w:val="11"/>
        </w:numPr>
        <w:jc w:val="both"/>
        <w:rPr>
          <w:rFonts w:cstheme="minorHAnsi"/>
          <w:sz w:val="22"/>
          <w:szCs w:val="22"/>
        </w:rPr>
      </w:pPr>
      <w:r w:rsidRPr="0079443E">
        <w:rPr>
          <w:rFonts w:cstheme="minorHAnsi"/>
          <w:sz w:val="22"/>
          <w:szCs w:val="22"/>
        </w:rPr>
        <w:t>Community Against Violence, Inc.</w:t>
      </w:r>
    </w:p>
    <w:p w14:paraId="5408FF01" w14:textId="105E81DE" w:rsidR="00DF4AF7" w:rsidRPr="0079443E" w:rsidRDefault="00DF4AF7" w:rsidP="0079443E">
      <w:pPr>
        <w:pStyle w:val="ListParagraph"/>
        <w:numPr>
          <w:ilvl w:val="0"/>
          <w:numId w:val="11"/>
        </w:numPr>
        <w:jc w:val="both"/>
        <w:rPr>
          <w:rFonts w:cstheme="minorHAnsi"/>
          <w:sz w:val="22"/>
          <w:szCs w:val="22"/>
        </w:rPr>
      </w:pPr>
      <w:r w:rsidRPr="0079443E">
        <w:rPr>
          <w:rFonts w:cstheme="minorHAnsi"/>
          <w:sz w:val="22"/>
          <w:szCs w:val="22"/>
        </w:rPr>
        <w:t>Crisi</w:t>
      </w:r>
      <w:r w:rsidR="00FE1C38">
        <w:rPr>
          <w:rFonts w:cstheme="minorHAnsi"/>
          <w:sz w:val="22"/>
          <w:szCs w:val="22"/>
        </w:rPr>
        <w:t>s</w:t>
      </w:r>
      <w:r w:rsidRPr="0079443E">
        <w:rPr>
          <w:rFonts w:cstheme="minorHAnsi"/>
          <w:sz w:val="22"/>
          <w:szCs w:val="22"/>
        </w:rPr>
        <w:t xml:space="preserve"> Center of Northern New Mexico</w:t>
      </w:r>
    </w:p>
    <w:p w14:paraId="1F2B6DD3" w14:textId="7500488E" w:rsidR="00DF4AF7" w:rsidRPr="0079443E" w:rsidRDefault="00DF4AF7" w:rsidP="0079443E">
      <w:pPr>
        <w:pStyle w:val="ListParagraph"/>
        <w:numPr>
          <w:ilvl w:val="0"/>
          <w:numId w:val="11"/>
        </w:numPr>
        <w:jc w:val="both"/>
        <w:rPr>
          <w:rFonts w:cstheme="minorHAnsi"/>
          <w:sz w:val="22"/>
          <w:szCs w:val="22"/>
        </w:rPr>
      </w:pPr>
      <w:r w:rsidRPr="0079443E">
        <w:rPr>
          <w:rFonts w:cstheme="minorHAnsi"/>
          <w:sz w:val="22"/>
          <w:szCs w:val="22"/>
        </w:rPr>
        <w:lastRenderedPageBreak/>
        <w:t>Crossroads for Women</w:t>
      </w:r>
    </w:p>
    <w:p w14:paraId="26EC745C" w14:textId="5F9FCDDF" w:rsidR="00DF4AF7" w:rsidRPr="0079443E" w:rsidRDefault="00DF4AF7" w:rsidP="0079443E">
      <w:pPr>
        <w:pStyle w:val="ListParagraph"/>
        <w:numPr>
          <w:ilvl w:val="0"/>
          <w:numId w:val="11"/>
        </w:numPr>
        <w:jc w:val="both"/>
        <w:rPr>
          <w:rFonts w:cstheme="minorHAnsi"/>
          <w:sz w:val="22"/>
          <w:szCs w:val="22"/>
        </w:rPr>
      </w:pPr>
      <w:r w:rsidRPr="0079443E">
        <w:rPr>
          <w:rFonts w:cstheme="minorHAnsi"/>
          <w:sz w:val="22"/>
          <w:szCs w:val="22"/>
        </w:rPr>
        <w:t>Dream Tree Project</w:t>
      </w:r>
    </w:p>
    <w:p w14:paraId="10A9CEDD" w14:textId="53FB3C8C" w:rsidR="00DF4AF7" w:rsidRPr="0079443E" w:rsidRDefault="00DF4AF7" w:rsidP="0079443E">
      <w:pPr>
        <w:pStyle w:val="ListParagraph"/>
        <w:numPr>
          <w:ilvl w:val="0"/>
          <w:numId w:val="11"/>
        </w:numPr>
        <w:jc w:val="both"/>
        <w:rPr>
          <w:rFonts w:cstheme="minorHAnsi"/>
          <w:sz w:val="22"/>
          <w:szCs w:val="22"/>
        </w:rPr>
      </w:pPr>
      <w:r w:rsidRPr="0079443E">
        <w:rPr>
          <w:rFonts w:cstheme="minorHAnsi"/>
          <w:sz w:val="22"/>
          <w:szCs w:val="22"/>
        </w:rPr>
        <w:t>Eight Northern Indian Pueblos Council</w:t>
      </w:r>
    </w:p>
    <w:p w14:paraId="684EA9FD" w14:textId="49284B7F" w:rsidR="00DF4AF7" w:rsidRPr="0079443E" w:rsidRDefault="00DF4AF7" w:rsidP="0079443E">
      <w:pPr>
        <w:pStyle w:val="ListParagraph"/>
        <w:numPr>
          <w:ilvl w:val="0"/>
          <w:numId w:val="11"/>
        </w:numPr>
        <w:jc w:val="both"/>
        <w:rPr>
          <w:rFonts w:cstheme="minorHAnsi"/>
          <w:sz w:val="22"/>
          <w:szCs w:val="22"/>
        </w:rPr>
      </w:pPr>
      <w:r w:rsidRPr="0079443E">
        <w:rPr>
          <w:rFonts w:cstheme="minorHAnsi"/>
          <w:sz w:val="22"/>
          <w:szCs w:val="22"/>
        </w:rPr>
        <w:t>El Centro Family Health</w:t>
      </w:r>
    </w:p>
    <w:p w14:paraId="29E51FB4" w14:textId="738F0A1A" w:rsidR="00DF4AF7" w:rsidRPr="0079443E" w:rsidRDefault="00DF4AF7" w:rsidP="0079443E">
      <w:pPr>
        <w:pStyle w:val="ListParagraph"/>
        <w:numPr>
          <w:ilvl w:val="0"/>
          <w:numId w:val="11"/>
        </w:numPr>
        <w:jc w:val="both"/>
        <w:rPr>
          <w:rFonts w:cstheme="minorHAnsi"/>
          <w:sz w:val="22"/>
          <w:szCs w:val="22"/>
        </w:rPr>
      </w:pPr>
      <w:r w:rsidRPr="0079443E">
        <w:rPr>
          <w:rFonts w:cstheme="minorHAnsi"/>
          <w:sz w:val="22"/>
          <w:szCs w:val="22"/>
        </w:rPr>
        <w:t>Families and Youth Inc.</w:t>
      </w:r>
    </w:p>
    <w:p w14:paraId="51836EFF" w14:textId="628604EB" w:rsidR="00DF4AF7" w:rsidRPr="0079443E" w:rsidRDefault="00DF4AF7" w:rsidP="0079443E">
      <w:pPr>
        <w:pStyle w:val="ListParagraph"/>
        <w:numPr>
          <w:ilvl w:val="0"/>
          <w:numId w:val="11"/>
        </w:numPr>
        <w:jc w:val="both"/>
        <w:rPr>
          <w:rFonts w:cstheme="minorHAnsi"/>
          <w:sz w:val="22"/>
          <w:szCs w:val="22"/>
        </w:rPr>
      </w:pPr>
      <w:r w:rsidRPr="0079443E">
        <w:rPr>
          <w:rFonts w:cstheme="minorHAnsi"/>
          <w:sz w:val="22"/>
          <w:szCs w:val="22"/>
        </w:rPr>
        <w:t>El Refugio, Inc.</w:t>
      </w:r>
    </w:p>
    <w:p w14:paraId="4A779B9D" w14:textId="1C1E421F" w:rsidR="00DF4AF7" w:rsidRPr="0079443E" w:rsidRDefault="00DF4AF7" w:rsidP="0079443E">
      <w:pPr>
        <w:pStyle w:val="ListParagraph"/>
        <w:numPr>
          <w:ilvl w:val="0"/>
          <w:numId w:val="11"/>
        </w:numPr>
        <w:jc w:val="both"/>
        <w:rPr>
          <w:rFonts w:cstheme="minorHAnsi"/>
          <w:sz w:val="22"/>
          <w:szCs w:val="22"/>
        </w:rPr>
      </w:pPr>
      <w:r w:rsidRPr="0079443E">
        <w:rPr>
          <w:rFonts w:cstheme="minorHAnsi"/>
          <w:sz w:val="22"/>
          <w:szCs w:val="22"/>
        </w:rPr>
        <w:t>Espanola Pathways Shelter</w:t>
      </w:r>
    </w:p>
    <w:p w14:paraId="4FDB56C8" w14:textId="73A5AC0D" w:rsidR="00DF4AF7" w:rsidRPr="0079443E" w:rsidRDefault="00DF4AF7" w:rsidP="0079443E">
      <w:pPr>
        <w:pStyle w:val="ListParagraph"/>
        <w:numPr>
          <w:ilvl w:val="0"/>
          <w:numId w:val="11"/>
        </w:numPr>
        <w:jc w:val="both"/>
        <w:rPr>
          <w:rFonts w:cstheme="minorHAnsi"/>
          <w:sz w:val="22"/>
          <w:szCs w:val="22"/>
        </w:rPr>
      </w:pPr>
      <w:r w:rsidRPr="0079443E">
        <w:rPr>
          <w:rFonts w:cstheme="minorHAnsi"/>
          <w:sz w:val="22"/>
          <w:szCs w:val="22"/>
        </w:rPr>
        <w:t>Good Shephard Center</w:t>
      </w:r>
    </w:p>
    <w:p w14:paraId="35C66842" w14:textId="6091F694" w:rsidR="00DF4AF7" w:rsidRPr="0079443E" w:rsidRDefault="00DF4AF7" w:rsidP="0079443E">
      <w:pPr>
        <w:pStyle w:val="ListParagraph"/>
        <w:numPr>
          <w:ilvl w:val="0"/>
          <w:numId w:val="11"/>
        </w:numPr>
        <w:jc w:val="both"/>
        <w:rPr>
          <w:rFonts w:cstheme="minorHAnsi"/>
          <w:sz w:val="22"/>
          <w:szCs w:val="22"/>
        </w:rPr>
      </w:pPr>
      <w:r w:rsidRPr="0079443E">
        <w:rPr>
          <w:rFonts w:cstheme="minorHAnsi"/>
          <w:sz w:val="22"/>
          <w:szCs w:val="22"/>
        </w:rPr>
        <w:t>Heading Home</w:t>
      </w:r>
    </w:p>
    <w:p w14:paraId="5AAD8021" w14:textId="418DAEBE" w:rsidR="00DF4AF7" w:rsidRPr="0079443E" w:rsidRDefault="00DF4AF7" w:rsidP="0079443E">
      <w:pPr>
        <w:pStyle w:val="ListParagraph"/>
        <w:numPr>
          <w:ilvl w:val="0"/>
          <w:numId w:val="11"/>
        </w:numPr>
        <w:jc w:val="both"/>
        <w:rPr>
          <w:rFonts w:cstheme="minorHAnsi"/>
          <w:sz w:val="22"/>
          <w:szCs w:val="22"/>
        </w:rPr>
      </w:pPr>
      <w:r w:rsidRPr="0079443E">
        <w:rPr>
          <w:rFonts w:cstheme="minorHAnsi"/>
          <w:sz w:val="22"/>
          <w:szCs w:val="22"/>
        </w:rPr>
        <w:t>Heart of Taos – Heart House</w:t>
      </w:r>
    </w:p>
    <w:p w14:paraId="737586B0" w14:textId="37B96E57" w:rsidR="00DF4AF7" w:rsidRPr="0079443E" w:rsidRDefault="00DF4AF7" w:rsidP="0079443E">
      <w:pPr>
        <w:pStyle w:val="ListParagraph"/>
        <w:numPr>
          <w:ilvl w:val="0"/>
          <w:numId w:val="11"/>
        </w:numPr>
        <w:jc w:val="both"/>
        <w:rPr>
          <w:rFonts w:cstheme="minorHAnsi"/>
          <w:sz w:val="22"/>
          <w:szCs w:val="22"/>
        </w:rPr>
      </w:pPr>
      <w:r w:rsidRPr="0079443E">
        <w:rPr>
          <w:rFonts w:cstheme="minorHAnsi"/>
          <w:sz w:val="22"/>
          <w:szCs w:val="22"/>
        </w:rPr>
        <w:t>HELP New Mexico, Inc.</w:t>
      </w:r>
    </w:p>
    <w:p w14:paraId="5FCAC6C9" w14:textId="6E83C6F0" w:rsidR="00DF4AF7" w:rsidRPr="0079443E" w:rsidRDefault="00DF4AF7" w:rsidP="0079443E">
      <w:pPr>
        <w:pStyle w:val="ListParagraph"/>
        <w:numPr>
          <w:ilvl w:val="0"/>
          <w:numId w:val="11"/>
        </w:numPr>
        <w:jc w:val="both"/>
        <w:rPr>
          <w:rFonts w:cstheme="minorHAnsi"/>
          <w:sz w:val="22"/>
          <w:szCs w:val="22"/>
        </w:rPr>
      </w:pPr>
      <w:proofErr w:type="spellStart"/>
      <w:r w:rsidRPr="0079443E">
        <w:rPr>
          <w:rFonts w:cstheme="minorHAnsi"/>
          <w:sz w:val="22"/>
          <w:szCs w:val="22"/>
        </w:rPr>
        <w:t>HopeWorks</w:t>
      </w:r>
      <w:proofErr w:type="spellEnd"/>
    </w:p>
    <w:p w14:paraId="5073CEC3" w14:textId="705ED9FB" w:rsidR="00DF4AF7" w:rsidRPr="0079443E" w:rsidRDefault="00DF4AF7" w:rsidP="0079443E">
      <w:pPr>
        <w:pStyle w:val="ListParagraph"/>
        <w:numPr>
          <w:ilvl w:val="0"/>
          <w:numId w:val="11"/>
        </w:numPr>
        <w:jc w:val="both"/>
        <w:rPr>
          <w:rFonts w:cstheme="minorHAnsi"/>
          <w:sz w:val="22"/>
          <w:szCs w:val="22"/>
        </w:rPr>
      </w:pPr>
      <w:r w:rsidRPr="0079443E">
        <w:rPr>
          <w:rFonts w:cstheme="minorHAnsi"/>
          <w:sz w:val="22"/>
          <w:szCs w:val="22"/>
        </w:rPr>
        <w:t>La Casa, Inc.</w:t>
      </w:r>
    </w:p>
    <w:p w14:paraId="01DD57CA" w14:textId="278AFEA9" w:rsidR="00DF4AF7" w:rsidRPr="0079443E" w:rsidRDefault="00DF4AF7" w:rsidP="0079443E">
      <w:pPr>
        <w:pStyle w:val="ListParagraph"/>
        <w:numPr>
          <w:ilvl w:val="0"/>
          <w:numId w:val="11"/>
        </w:numPr>
        <w:jc w:val="both"/>
        <w:rPr>
          <w:rFonts w:cstheme="minorHAnsi"/>
          <w:sz w:val="22"/>
          <w:szCs w:val="22"/>
        </w:rPr>
      </w:pPr>
      <w:r w:rsidRPr="0079443E">
        <w:rPr>
          <w:rFonts w:cstheme="minorHAnsi"/>
          <w:sz w:val="22"/>
          <w:szCs w:val="22"/>
        </w:rPr>
        <w:t>New Day Youth and Family Services</w:t>
      </w:r>
    </w:p>
    <w:p w14:paraId="1A5850C5" w14:textId="55B60F37" w:rsidR="00DF4AF7" w:rsidRPr="0079443E" w:rsidRDefault="00DF4AF7" w:rsidP="0079443E">
      <w:pPr>
        <w:pStyle w:val="ListParagraph"/>
        <w:numPr>
          <w:ilvl w:val="0"/>
          <w:numId w:val="11"/>
        </w:numPr>
        <w:jc w:val="both"/>
        <w:rPr>
          <w:rFonts w:cstheme="minorHAnsi"/>
          <w:sz w:val="22"/>
          <w:szCs w:val="22"/>
        </w:rPr>
      </w:pPr>
      <w:r w:rsidRPr="0079443E">
        <w:rPr>
          <w:rFonts w:cstheme="minorHAnsi"/>
          <w:sz w:val="22"/>
          <w:szCs w:val="22"/>
        </w:rPr>
        <w:t>New Mexico Aids Services</w:t>
      </w:r>
    </w:p>
    <w:p w14:paraId="447296BC" w14:textId="5B3ACD58" w:rsidR="00DF4AF7" w:rsidRPr="0079443E" w:rsidRDefault="00DF4AF7" w:rsidP="0079443E">
      <w:pPr>
        <w:pStyle w:val="ListParagraph"/>
        <w:numPr>
          <w:ilvl w:val="0"/>
          <w:numId w:val="11"/>
        </w:numPr>
        <w:jc w:val="both"/>
        <w:rPr>
          <w:rFonts w:cstheme="minorHAnsi"/>
          <w:sz w:val="22"/>
          <w:szCs w:val="22"/>
        </w:rPr>
      </w:pPr>
      <w:r w:rsidRPr="0079443E">
        <w:rPr>
          <w:rFonts w:cstheme="minorHAnsi"/>
          <w:sz w:val="22"/>
          <w:szCs w:val="22"/>
        </w:rPr>
        <w:t>New Mexico Coalition to End Homelessness</w:t>
      </w:r>
    </w:p>
    <w:p w14:paraId="79E485A7" w14:textId="1835E9F6" w:rsidR="00DF4AF7" w:rsidRPr="0079443E" w:rsidRDefault="00DF4AF7" w:rsidP="0079443E">
      <w:pPr>
        <w:pStyle w:val="ListParagraph"/>
        <w:numPr>
          <w:ilvl w:val="0"/>
          <w:numId w:val="11"/>
        </w:numPr>
        <w:jc w:val="both"/>
        <w:rPr>
          <w:rFonts w:cstheme="minorHAnsi"/>
          <w:sz w:val="22"/>
          <w:szCs w:val="22"/>
        </w:rPr>
      </w:pPr>
      <w:r w:rsidRPr="0079443E">
        <w:rPr>
          <w:rFonts w:cstheme="minorHAnsi"/>
          <w:sz w:val="22"/>
          <w:szCs w:val="22"/>
        </w:rPr>
        <w:t>New Mexico Veterans Integration Center</w:t>
      </w:r>
    </w:p>
    <w:p w14:paraId="236059D9" w14:textId="4BD0BCE0" w:rsidR="00DF4AF7" w:rsidRPr="0079443E" w:rsidRDefault="00DF4AF7" w:rsidP="0079443E">
      <w:pPr>
        <w:pStyle w:val="ListParagraph"/>
        <w:numPr>
          <w:ilvl w:val="0"/>
          <w:numId w:val="11"/>
        </w:numPr>
        <w:jc w:val="both"/>
        <w:rPr>
          <w:rFonts w:cstheme="minorHAnsi"/>
          <w:sz w:val="22"/>
          <w:szCs w:val="22"/>
        </w:rPr>
      </w:pPr>
      <w:r w:rsidRPr="0079443E">
        <w:rPr>
          <w:rFonts w:cstheme="minorHAnsi"/>
          <w:sz w:val="22"/>
          <w:szCs w:val="22"/>
        </w:rPr>
        <w:t>Option, Inc.</w:t>
      </w:r>
    </w:p>
    <w:p w14:paraId="21EAB92A" w14:textId="6FF2FFA0" w:rsidR="00DF4AF7" w:rsidRPr="0079443E" w:rsidRDefault="00DF4AF7" w:rsidP="0079443E">
      <w:pPr>
        <w:pStyle w:val="ListParagraph"/>
        <w:numPr>
          <w:ilvl w:val="0"/>
          <w:numId w:val="11"/>
        </w:numPr>
        <w:jc w:val="both"/>
        <w:rPr>
          <w:rFonts w:cstheme="minorHAnsi"/>
          <w:sz w:val="22"/>
          <w:szCs w:val="22"/>
        </w:rPr>
      </w:pPr>
      <w:r w:rsidRPr="0079443E">
        <w:rPr>
          <w:rFonts w:cstheme="minorHAnsi"/>
          <w:sz w:val="22"/>
          <w:szCs w:val="22"/>
        </w:rPr>
        <w:t>People Assisting the Homeless (PATH)</w:t>
      </w:r>
    </w:p>
    <w:p w14:paraId="584590BD" w14:textId="4BA405C7" w:rsidR="00DF4AF7" w:rsidRPr="0079443E" w:rsidRDefault="00DF4AF7" w:rsidP="0079443E">
      <w:pPr>
        <w:pStyle w:val="ListParagraph"/>
        <w:numPr>
          <w:ilvl w:val="0"/>
          <w:numId w:val="11"/>
        </w:numPr>
        <w:jc w:val="both"/>
        <w:rPr>
          <w:rFonts w:cstheme="minorHAnsi"/>
          <w:sz w:val="22"/>
          <w:szCs w:val="22"/>
        </w:rPr>
      </w:pPr>
      <w:r w:rsidRPr="0079443E">
        <w:rPr>
          <w:rFonts w:cstheme="minorHAnsi"/>
          <w:sz w:val="22"/>
          <w:szCs w:val="22"/>
        </w:rPr>
        <w:t>Pueblo of Santa Clara</w:t>
      </w:r>
    </w:p>
    <w:p w14:paraId="6E7E8C7D" w14:textId="474B3ABC" w:rsidR="00DF4AF7" w:rsidRPr="0079443E" w:rsidRDefault="00DF4AF7" w:rsidP="0079443E">
      <w:pPr>
        <w:pStyle w:val="ListParagraph"/>
        <w:numPr>
          <w:ilvl w:val="0"/>
          <w:numId w:val="11"/>
        </w:numPr>
        <w:jc w:val="both"/>
        <w:rPr>
          <w:rFonts w:cstheme="minorHAnsi"/>
          <w:sz w:val="22"/>
          <w:szCs w:val="22"/>
        </w:rPr>
      </w:pPr>
      <w:r w:rsidRPr="0079443E">
        <w:rPr>
          <w:rFonts w:cstheme="minorHAnsi"/>
          <w:sz w:val="22"/>
          <w:szCs w:val="22"/>
        </w:rPr>
        <w:t>Rio Arriba County</w:t>
      </w:r>
    </w:p>
    <w:p w14:paraId="2C191A4F" w14:textId="688FBFFD" w:rsidR="00DF4AF7" w:rsidRPr="0079443E" w:rsidRDefault="00DF4AF7" w:rsidP="0079443E">
      <w:pPr>
        <w:pStyle w:val="ListParagraph"/>
        <w:numPr>
          <w:ilvl w:val="0"/>
          <w:numId w:val="11"/>
        </w:numPr>
        <w:jc w:val="both"/>
        <w:rPr>
          <w:rFonts w:cstheme="minorHAnsi"/>
          <w:sz w:val="22"/>
          <w:szCs w:val="22"/>
        </w:rPr>
      </w:pPr>
      <w:r w:rsidRPr="0079443E">
        <w:rPr>
          <w:rFonts w:cstheme="minorHAnsi"/>
          <w:sz w:val="22"/>
          <w:szCs w:val="22"/>
        </w:rPr>
        <w:t>A.F.E House</w:t>
      </w:r>
    </w:p>
    <w:p w14:paraId="6DC544B8" w14:textId="6CF5E973" w:rsidR="00DF4AF7" w:rsidRPr="0079443E" w:rsidRDefault="00DF4AF7" w:rsidP="0079443E">
      <w:pPr>
        <w:pStyle w:val="ListParagraph"/>
        <w:numPr>
          <w:ilvl w:val="0"/>
          <w:numId w:val="11"/>
        </w:numPr>
        <w:jc w:val="both"/>
        <w:rPr>
          <w:rFonts w:cstheme="minorHAnsi"/>
          <w:sz w:val="22"/>
          <w:szCs w:val="22"/>
        </w:rPr>
      </w:pPr>
      <w:r w:rsidRPr="0079443E">
        <w:rPr>
          <w:rFonts w:cstheme="minorHAnsi"/>
          <w:sz w:val="22"/>
          <w:szCs w:val="22"/>
        </w:rPr>
        <w:t>San Juan Catholic Charities</w:t>
      </w:r>
    </w:p>
    <w:p w14:paraId="3109C22F" w14:textId="3D3E02ED" w:rsidR="00DF4AF7" w:rsidRPr="0079443E" w:rsidRDefault="00DF4AF7" w:rsidP="0079443E">
      <w:pPr>
        <w:pStyle w:val="ListParagraph"/>
        <w:numPr>
          <w:ilvl w:val="0"/>
          <w:numId w:val="11"/>
        </w:numPr>
        <w:jc w:val="both"/>
        <w:rPr>
          <w:rFonts w:cstheme="minorHAnsi"/>
          <w:sz w:val="22"/>
          <w:szCs w:val="22"/>
        </w:rPr>
      </w:pPr>
      <w:r w:rsidRPr="0079443E">
        <w:rPr>
          <w:rFonts w:cstheme="minorHAnsi"/>
          <w:sz w:val="22"/>
          <w:szCs w:val="22"/>
        </w:rPr>
        <w:t>Santa Clara Pueblo Behavioral Health</w:t>
      </w:r>
    </w:p>
    <w:p w14:paraId="0F030EA6" w14:textId="73DA9E85" w:rsidR="00DF4AF7" w:rsidRPr="0079443E" w:rsidRDefault="00DF4AF7" w:rsidP="0079443E">
      <w:pPr>
        <w:pStyle w:val="ListParagraph"/>
        <w:numPr>
          <w:ilvl w:val="0"/>
          <w:numId w:val="11"/>
        </w:numPr>
        <w:jc w:val="both"/>
        <w:rPr>
          <w:rFonts w:cstheme="minorHAnsi"/>
          <w:sz w:val="22"/>
          <w:szCs w:val="22"/>
        </w:rPr>
      </w:pPr>
      <w:r w:rsidRPr="0079443E">
        <w:rPr>
          <w:rFonts w:cstheme="minorHAnsi"/>
          <w:sz w:val="22"/>
          <w:szCs w:val="22"/>
        </w:rPr>
        <w:t>Santa Clara Pueblo Housing Authority</w:t>
      </w:r>
    </w:p>
    <w:p w14:paraId="60163D7A" w14:textId="536A7118" w:rsidR="00DF4AF7" w:rsidRPr="0079443E" w:rsidRDefault="00DF4AF7" w:rsidP="0079443E">
      <w:pPr>
        <w:pStyle w:val="ListParagraph"/>
        <w:numPr>
          <w:ilvl w:val="0"/>
          <w:numId w:val="11"/>
        </w:numPr>
        <w:jc w:val="both"/>
        <w:rPr>
          <w:rFonts w:cstheme="minorHAnsi"/>
          <w:sz w:val="22"/>
          <w:szCs w:val="22"/>
        </w:rPr>
      </w:pPr>
      <w:r w:rsidRPr="0079443E">
        <w:rPr>
          <w:rFonts w:cstheme="minorHAnsi"/>
          <w:sz w:val="22"/>
          <w:szCs w:val="22"/>
        </w:rPr>
        <w:t>Santa Fe Recovery Center</w:t>
      </w:r>
    </w:p>
    <w:p w14:paraId="108B7E63" w14:textId="4F17020F" w:rsidR="00DF4AF7" w:rsidRPr="0079443E" w:rsidRDefault="00DF4AF7" w:rsidP="0079443E">
      <w:pPr>
        <w:pStyle w:val="ListParagraph"/>
        <w:numPr>
          <w:ilvl w:val="0"/>
          <w:numId w:val="11"/>
        </w:numPr>
        <w:jc w:val="both"/>
        <w:rPr>
          <w:rFonts w:cstheme="minorHAnsi"/>
          <w:sz w:val="22"/>
          <w:szCs w:val="22"/>
        </w:rPr>
      </w:pPr>
      <w:proofErr w:type="spellStart"/>
      <w:r w:rsidRPr="0079443E">
        <w:rPr>
          <w:rFonts w:cstheme="minorHAnsi"/>
          <w:sz w:val="22"/>
          <w:szCs w:val="22"/>
        </w:rPr>
        <w:t>Saranam</w:t>
      </w:r>
      <w:proofErr w:type="spellEnd"/>
      <w:r w:rsidRPr="0079443E">
        <w:rPr>
          <w:rFonts w:cstheme="minorHAnsi"/>
          <w:sz w:val="22"/>
          <w:szCs w:val="22"/>
        </w:rPr>
        <w:t>, LLC</w:t>
      </w:r>
    </w:p>
    <w:p w14:paraId="40B6D191" w14:textId="2034D7DE" w:rsidR="00DF4AF7" w:rsidRPr="0079443E" w:rsidRDefault="00DF4AF7" w:rsidP="0079443E">
      <w:pPr>
        <w:pStyle w:val="ListParagraph"/>
        <w:numPr>
          <w:ilvl w:val="0"/>
          <w:numId w:val="11"/>
        </w:numPr>
        <w:jc w:val="both"/>
        <w:rPr>
          <w:rFonts w:cstheme="minorHAnsi"/>
          <w:sz w:val="22"/>
          <w:szCs w:val="22"/>
        </w:rPr>
      </w:pPr>
      <w:r w:rsidRPr="0079443E">
        <w:rPr>
          <w:rFonts w:cstheme="minorHAnsi"/>
          <w:sz w:val="22"/>
          <w:szCs w:val="22"/>
        </w:rPr>
        <w:t>Silver City Gospel Mission</w:t>
      </w:r>
    </w:p>
    <w:p w14:paraId="264A19B8" w14:textId="1F7CF3F5" w:rsidR="00DF4AF7" w:rsidRPr="0079443E" w:rsidRDefault="00DF4AF7" w:rsidP="0079443E">
      <w:pPr>
        <w:pStyle w:val="ListParagraph"/>
        <w:numPr>
          <w:ilvl w:val="0"/>
          <w:numId w:val="11"/>
        </w:numPr>
        <w:jc w:val="both"/>
        <w:rPr>
          <w:rFonts w:cstheme="minorHAnsi"/>
          <w:sz w:val="22"/>
          <w:szCs w:val="22"/>
        </w:rPr>
      </w:pPr>
      <w:r w:rsidRPr="0079443E">
        <w:rPr>
          <w:rFonts w:cstheme="minorHAnsi"/>
          <w:sz w:val="22"/>
          <w:szCs w:val="22"/>
        </w:rPr>
        <w:t>Elizabeth Shelter</w:t>
      </w:r>
    </w:p>
    <w:p w14:paraId="17A7C244" w14:textId="17269F14" w:rsidR="00DF4AF7" w:rsidRPr="0079443E" w:rsidRDefault="00DF4AF7" w:rsidP="0079443E">
      <w:pPr>
        <w:pStyle w:val="ListParagraph"/>
        <w:numPr>
          <w:ilvl w:val="0"/>
          <w:numId w:val="11"/>
        </w:numPr>
        <w:jc w:val="both"/>
        <w:rPr>
          <w:rFonts w:cstheme="minorHAnsi"/>
          <w:sz w:val="22"/>
          <w:szCs w:val="22"/>
        </w:rPr>
      </w:pPr>
      <w:r w:rsidRPr="0079443E">
        <w:rPr>
          <w:rFonts w:cstheme="minorHAnsi"/>
          <w:sz w:val="22"/>
          <w:szCs w:val="22"/>
        </w:rPr>
        <w:t>Steel Bridge Ministries</w:t>
      </w:r>
    </w:p>
    <w:p w14:paraId="47BEE486" w14:textId="3A501661" w:rsidR="00DF4AF7" w:rsidRPr="0079443E" w:rsidRDefault="00DF4AF7" w:rsidP="0079443E">
      <w:pPr>
        <w:pStyle w:val="ListParagraph"/>
        <w:numPr>
          <w:ilvl w:val="0"/>
          <w:numId w:val="11"/>
        </w:numPr>
        <w:jc w:val="both"/>
        <w:rPr>
          <w:rFonts w:cstheme="minorHAnsi"/>
          <w:sz w:val="22"/>
          <w:szCs w:val="22"/>
        </w:rPr>
      </w:pPr>
      <w:r w:rsidRPr="0079443E">
        <w:rPr>
          <w:rFonts w:cstheme="minorHAnsi"/>
          <w:sz w:val="22"/>
          <w:szCs w:val="22"/>
        </w:rPr>
        <w:t>Susan’s Legacy</w:t>
      </w:r>
    </w:p>
    <w:p w14:paraId="2D774C66" w14:textId="3CB8B31B" w:rsidR="00DF4AF7" w:rsidRPr="0079443E" w:rsidRDefault="00DF4AF7" w:rsidP="0079443E">
      <w:pPr>
        <w:pStyle w:val="ListParagraph"/>
        <w:numPr>
          <w:ilvl w:val="0"/>
          <w:numId w:val="11"/>
        </w:numPr>
        <w:jc w:val="both"/>
        <w:rPr>
          <w:rFonts w:cstheme="minorHAnsi"/>
          <w:sz w:val="22"/>
          <w:szCs w:val="22"/>
        </w:rPr>
      </w:pPr>
      <w:r w:rsidRPr="0079443E">
        <w:rPr>
          <w:rFonts w:cstheme="minorHAnsi"/>
          <w:sz w:val="22"/>
          <w:szCs w:val="22"/>
        </w:rPr>
        <w:t>The Life Link</w:t>
      </w:r>
    </w:p>
    <w:p w14:paraId="14BBD473" w14:textId="013766ED" w:rsidR="00DF4AF7" w:rsidRPr="0079443E" w:rsidRDefault="00DF4AF7" w:rsidP="0079443E">
      <w:pPr>
        <w:pStyle w:val="ListParagraph"/>
        <w:numPr>
          <w:ilvl w:val="0"/>
          <w:numId w:val="11"/>
        </w:numPr>
        <w:jc w:val="both"/>
        <w:rPr>
          <w:rFonts w:cstheme="minorHAnsi"/>
          <w:sz w:val="22"/>
          <w:szCs w:val="22"/>
        </w:rPr>
      </w:pPr>
      <w:r w:rsidRPr="0079443E">
        <w:rPr>
          <w:rFonts w:cstheme="minorHAnsi"/>
          <w:sz w:val="22"/>
          <w:szCs w:val="22"/>
        </w:rPr>
        <w:t>Therapeutic Living Services, Inc.</w:t>
      </w:r>
    </w:p>
    <w:p w14:paraId="2CB16F3C" w14:textId="0AA7E7F9" w:rsidR="00DF4AF7" w:rsidRPr="0079443E" w:rsidRDefault="00DF4AF7" w:rsidP="0079443E">
      <w:pPr>
        <w:pStyle w:val="ListParagraph"/>
        <w:numPr>
          <w:ilvl w:val="0"/>
          <w:numId w:val="11"/>
        </w:numPr>
        <w:jc w:val="both"/>
        <w:rPr>
          <w:rFonts w:cstheme="minorHAnsi"/>
          <w:sz w:val="22"/>
          <w:szCs w:val="22"/>
        </w:rPr>
      </w:pPr>
      <w:r w:rsidRPr="0079443E">
        <w:rPr>
          <w:rFonts w:cstheme="minorHAnsi"/>
          <w:sz w:val="22"/>
          <w:szCs w:val="22"/>
        </w:rPr>
        <w:t>Town of Taos</w:t>
      </w:r>
    </w:p>
    <w:p w14:paraId="667AF11B" w14:textId="1ED6203D" w:rsidR="00DF4AF7" w:rsidRPr="0079443E" w:rsidRDefault="00DF4AF7" w:rsidP="0079443E">
      <w:pPr>
        <w:pStyle w:val="ListParagraph"/>
        <w:numPr>
          <w:ilvl w:val="0"/>
          <w:numId w:val="11"/>
        </w:numPr>
        <w:jc w:val="both"/>
        <w:rPr>
          <w:rFonts w:cstheme="minorHAnsi"/>
          <w:sz w:val="22"/>
          <w:szCs w:val="22"/>
        </w:rPr>
      </w:pPr>
      <w:r w:rsidRPr="0079443E">
        <w:rPr>
          <w:rFonts w:cstheme="minorHAnsi"/>
          <w:sz w:val="22"/>
          <w:szCs w:val="22"/>
        </w:rPr>
        <w:t>Valencia Shelter Services</w:t>
      </w:r>
    </w:p>
    <w:p w14:paraId="179F7CE2" w14:textId="7D20BE74" w:rsidR="00DF4AF7" w:rsidRPr="0079443E" w:rsidRDefault="00DF4AF7" w:rsidP="0079443E">
      <w:pPr>
        <w:pStyle w:val="ListParagraph"/>
        <w:numPr>
          <w:ilvl w:val="0"/>
          <w:numId w:val="11"/>
        </w:numPr>
        <w:jc w:val="both"/>
        <w:rPr>
          <w:rFonts w:cstheme="minorHAnsi"/>
          <w:sz w:val="22"/>
          <w:szCs w:val="22"/>
        </w:rPr>
      </w:pPr>
      <w:r w:rsidRPr="0079443E">
        <w:rPr>
          <w:rFonts w:cstheme="minorHAnsi"/>
          <w:sz w:val="22"/>
          <w:szCs w:val="22"/>
        </w:rPr>
        <w:t>Women’s Housing Coalition</w:t>
      </w:r>
    </w:p>
    <w:p w14:paraId="6C375F20" w14:textId="78465C54" w:rsidR="00DF4AF7" w:rsidRPr="0079443E" w:rsidRDefault="00DF4AF7" w:rsidP="0079443E">
      <w:pPr>
        <w:pStyle w:val="ListParagraph"/>
        <w:numPr>
          <w:ilvl w:val="0"/>
          <w:numId w:val="11"/>
        </w:numPr>
        <w:jc w:val="both"/>
        <w:rPr>
          <w:rFonts w:cstheme="minorHAnsi"/>
          <w:sz w:val="22"/>
          <w:szCs w:val="22"/>
        </w:rPr>
      </w:pPr>
      <w:r w:rsidRPr="0079443E">
        <w:rPr>
          <w:rFonts w:cstheme="minorHAnsi"/>
          <w:sz w:val="22"/>
          <w:szCs w:val="22"/>
        </w:rPr>
        <w:t>Youth Development Inc.</w:t>
      </w:r>
    </w:p>
    <w:p w14:paraId="37D9CA23" w14:textId="4481D236" w:rsidR="0079443E" w:rsidRDefault="00DF4AF7" w:rsidP="0079443E">
      <w:pPr>
        <w:pStyle w:val="ListParagraph"/>
        <w:numPr>
          <w:ilvl w:val="0"/>
          <w:numId w:val="11"/>
        </w:numPr>
        <w:jc w:val="both"/>
        <w:rPr>
          <w:rFonts w:cstheme="minorHAnsi"/>
          <w:sz w:val="22"/>
          <w:szCs w:val="22"/>
        </w:rPr>
      </w:pPr>
      <w:r w:rsidRPr="0079443E">
        <w:rPr>
          <w:rFonts w:cstheme="minorHAnsi"/>
          <w:sz w:val="22"/>
          <w:szCs w:val="22"/>
        </w:rPr>
        <w:t>Youth Family and Family Services</w:t>
      </w:r>
      <w:bookmarkStart w:id="55" w:name="_Toc104210927"/>
    </w:p>
    <w:p w14:paraId="436A3D08" w14:textId="77777777" w:rsidR="0079443E" w:rsidRPr="0079443E" w:rsidRDefault="0079443E" w:rsidP="0079443E">
      <w:pPr>
        <w:pStyle w:val="ListParagraph"/>
        <w:jc w:val="both"/>
        <w:rPr>
          <w:rFonts w:cstheme="minorHAnsi"/>
          <w:sz w:val="22"/>
          <w:szCs w:val="22"/>
        </w:rPr>
      </w:pPr>
    </w:p>
    <w:p w14:paraId="34E3962E" w14:textId="3A3C56C6" w:rsidR="006D306C" w:rsidRPr="00340EE8" w:rsidRDefault="006D306C" w:rsidP="0079443E">
      <w:pPr>
        <w:pStyle w:val="Heading1"/>
        <w:jc w:val="both"/>
        <w:rPr>
          <w:rFonts w:cstheme="minorHAnsi"/>
        </w:rPr>
      </w:pPr>
      <w:bookmarkStart w:id="56" w:name="_Toc117606393"/>
      <w:r w:rsidRPr="00340EE8">
        <w:rPr>
          <w:rFonts w:cstheme="minorHAnsi"/>
        </w:rPr>
        <w:lastRenderedPageBreak/>
        <w:t>S</w:t>
      </w:r>
      <w:r w:rsidR="00C85E3F" w:rsidRPr="00340EE8">
        <w:rPr>
          <w:rFonts w:cstheme="minorHAnsi"/>
        </w:rPr>
        <w:t>ervice Provider</w:t>
      </w:r>
      <w:r w:rsidRPr="00340EE8">
        <w:rPr>
          <w:rFonts w:cstheme="minorHAnsi"/>
        </w:rPr>
        <w:t xml:space="preserve"> Management and Monitoring</w:t>
      </w:r>
      <w:bookmarkEnd w:id="55"/>
      <w:bookmarkEnd w:id="56"/>
    </w:p>
    <w:p w14:paraId="1A053DE7" w14:textId="77777777" w:rsidR="006D306C" w:rsidRPr="00340EE8" w:rsidRDefault="006D306C" w:rsidP="00FE1C38">
      <w:pPr>
        <w:jc w:val="both"/>
        <w:rPr>
          <w:rFonts w:cstheme="minorHAnsi"/>
          <w:sz w:val="22"/>
          <w:szCs w:val="22"/>
        </w:rPr>
      </w:pPr>
      <w:r w:rsidRPr="00340EE8">
        <w:rPr>
          <w:rFonts w:cstheme="minorHAnsi"/>
          <w:sz w:val="22"/>
          <w:szCs w:val="22"/>
        </w:rPr>
        <w:t>MFA as subgrantee and administrator of New Mexico’s RHP will monitor each agency awarded RHP funds to ensure compliance with RHP requirements and guidelines.</w:t>
      </w:r>
    </w:p>
    <w:p w14:paraId="56247C91" w14:textId="77777777" w:rsidR="006D306C" w:rsidRPr="00340EE8" w:rsidRDefault="006D306C" w:rsidP="00FE1C38">
      <w:pPr>
        <w:jc w:val="both"/>
        <w:rPr>
          <w:rFonts w:cstheme="minorHAnsi"/>
          <w:sz w:val="22"/>
          <w:szCs w:val="22"/>
        </w:rPr>
      </w:pPr>
      <w:r w:rsidRPr="00340EE8">
        <w:rPr>
          <w:rFonts w:cstheme="minorHAnsi"/>
          <w:sz w:val="22"/>
          <w:szCs w:val="22"/>
        </w:rPr>
        <w:t xml:space="preserve">DFA-LGD, as </w:t>
      </w:r>
      <w:proofErr w:type="gramStart"/>
      <w:r w:rsidRPr="00340EE8">
        <w:rPr>
          <w:rFonts w:cstheme="minorHAnsi"/>
          <w:sz w:val="22"/>
          <w:szCs w:val="22"/>
        </w:rPr>
        <w:t>grantee</w:t>
      </w:r>
      <w:proofErr w:type="gramEnd"/>
      <w:r w:rsidRPr="00340EE8">
        <w:rPr>
          <w:rFonts w:cstheme="minorHAnsi"/>
          <w:sz w:val="22"/>
          <w:szCs w:val="22"/>
        </w:rPr>
        <w:t xml:space="preserve"> will provide oversight of MFA according to the states CDBG Implementation guide adjusted for waivers and alternative requirements for the Pilot Recovery Housing Program as described in FR-6225-N-01 and FR 6265-N-01.</w:t>
      </w:r>
    </w:p>
    <w:p w14:paraId="50CBA29D" w14:textId="51AE7FF1" w:rsidR="006D306C" w:rsidRPr="00340EE8" w:rsidRDefault="006D306C" w:rsidP="0079443E">
      <w:pPr>
        <w:pStyle w:val="Heading1"/>
        <w:jc w:val="both"/>
        <w:rPr>
          <w:rFonts w:cstheme="minorHAnsi"/>
        </w:rPr>
      </w:pPr>
      <w:bookmarkStart w:id="57" w:name="_Toc104210928"/>
      <w:bookmarkStart w:id="58" w:name="_Toc117606394"/>
      <w:r w:rsidRPr="00340EE8">
        <w:rPr>
          <w:rFonts w:cstheme="minorHAnsi"/>
        </w:rPr>
        <w:t>Pre-Award/Pre-Agreement Costs</w:t>
      </w:r>
      <w:bookmarkEnd w:id="57"/>
      <w:bookmarkEnd w:id="58"/>
    </w:p>
    <w:p w14:paraId="2F2A3601" w14:textId="52601EBA" w:rsidR="006D306C" w:rsidRPr="00340EE8" w:rsidRDefault="006D306C" w:rsidP="00FE1C38">
      <w:pPr>
        <w:jc w:val="both"/>
        <w:rPr>
          <w:rFonts w:cstheme="minorHAnsi"/>
          <w:sz w:val="22"/>
          <w:szCs w:val="22"/>
        </w:rPr>
      </w:pPr>
      <w:r w:rsidRPr="00340EE8">
        <w:rPr>
          <w:rFonts w:cstheme="minorHAnsi"/>
          <w:sz w:val="22"/>
          <w:szCs w:val="22"/>
        </w:rPr>
        <w:t>Upon acceptance of the RHP Action Plan by HUD, MFA will collect administrative costs allowable under the RHP guidelines allowing up to five percent of the RHP allocation for FY2020</w:t>
      </w:r>
      <w:r w:rsidR="00746C58" w:rsidRPr="00340EE8">
        <w:rPr>
          <w:rFonts w:cstheme="minorHAnsi"/>
          <w:sz w:val="22"/>
          <w:szCs w:val="22"/>
        </w:rPr>
        <w:t xml:space="preserve">, </w:t>
      </w:r>
      <w:r w:rsidRPr="00340EE8">
        <w:rPr>
          <w:rFonts w:cstheme="minorHAnsi"/>
          <w:sz w:val="22"/>
          <w:szCs w:val="22"/>
        </w:rPr>
        <w:t>FY2021</w:t>
      </w:r>
      <w:r w:rsidR="00746C58" w:rsidRPr="00340EE8">
        <w:rPr>
          <w:rFonts w:cstheme="minorHAnsi"/>
          <w:sz w:val="22"/>
          <w:szCs w:val="22"/>
        </w:rPr>
        <w:t xml:space="preserve"> and FY2022</w:t>
      </w:r>
      <w:r w:rsidRPr="00340EE8">
        <w:rPr>
          <w:rFonts w:cstheme="minorHAnsi"/>
          <w:sz w:val="22"/>
          <w:szCs w:val="22"/>
        </w:rPr>
        <w:t>.</w:t>
      </w:r>
    </w:p>
    <w:p w14:paraId="01669D75" w14:textId="78D56EAB" w:rsidR="006D306C" w:rsidRPr="00340EE8" w:rsidRDefault="006D306C" w:rsidP="0079443E">
      <w:pPr>
        <w:pStyle w:val="Heading1"/>
        <w:jc w:val="both"/>
        <w:rPr>
          <w:rFonts w:cstheme="minorHAnsi"/>
        </w:rPr>
      </w:pPr>
      <w:bookmarkStart w:id="59" w:name="_Toc104210929"/>
      <w:bookmarkStart w:id="60" w:name="_Toc117606395"/>
      <w:r w:rsidRPr="00340EE8">
        <w:rPr>
          <w:rFonts w:cstheme="minorHAnsi"/>
        </w:rPr>
        <w:t>Certifications</w:t>
      </w:r>
      <w:bookmarkEnd w:id="59"/>
      <w:bookmarkEnd w:id="60"/>
    </w:p>
    <w:p w14:paraId="58B343DB" w14:textId="77777777" w:rsidR="006D306C" w:rsidRPr="00340EE8" w:rsidRDefault="006D306C" w:rsidP="0079443E">
      <w:pPr>
        <w:jc w:val="both"/>
        <w:rPr>
          <w:rFonts w:cstheme="minorHAnsi"/>
          <w:b/>
          <w:bCs/>
          <w:sz w:val="22"/>
          <w:szCs w:val="22"/>
        </w:rPr>
      </w:pPr>
      <w:r w:rsidRPr="00340EE8">
        <w:rPr>
          <w:rFonts w:cstheme="minorHAnsi"/>
          <w:b/>
          <w:bCs/>
          <w:sz w:val="22"/>
          <w:szCs w:val="22"/>
        </w:rPr>
        <w:t>MFA certifies the following:</w:t>
      </w:r>
    </w:p>
    <w:p w14:paraId="703F04CB" w14:textId="2E692778" w:rsidR="006D306C" w:rsidRPr="00340EE8" w:rsidRDefault="006D306C" w:rsidP="0079443E">
      <w:pPr>
        <w:pStyle w:val="ListParagraph"/>
        <w:numPr>
          <w:ilvl w:val="0"/>
          <w:numId w:val="5"/>
        </w:numPr>
        <w:jc w:val="both"/>
        <w:rPr>
          <w:rFonts w:cstheme="minorHAnsi"/>
          <w:sz w:val="22"/>
          <w:szCs w:val="22"/>
        </w:rPr>
      </w:pPr>
      <w:r w:rsidRPr="00340EE8">
        <w:rPr>
          <w:rFonts w:cstheme="minorHAnsi"/>
          <w:sz w:val="22"/>
          <w:szCs w:val="22"/>
        </w:rPr>
        <w:t>The grantee certifies that it has in effect and is following a residential anti-displacement and relocation assistance plan in connection with any activity assisted with funding under the RHP program. The grantee certifies that it will comply with the residential anti-displacement and relocation assistance plan, relocation assistance, and one-for-one replacement housing requirements of section 104(d) of the Housing and Community Development Act of 1974, as amended (42 USC § 5304(d)) and implementing regulations at 24 CFR part 42, as applicable, except where waivers or alternative requirements are provided.</w:t>
      </w:r>
    </w:p>
    <w:p w14:paraId="3CA7DC0D" w14:textId="42F20103" w:rsidR="006D306C" w:rsidRPr="00340EE8" w:rsidRDefault="006D306C" w:rsidP="0079443E">
      <w:pPr>
        <w:pStyle w:val="ListParagraph"/>
        <w:numPr>
          <w:ilvl w:val="0"/>
          <w:numId w:val="5"/>
        </w:numPr>
        <w:jc w:val="both"/>
        <w:rPr>
          <w:rFonts w:cstheme="minorHAnsi"/>
          <w:sz w:val="22"/>
          <w:szCs w:val="22"/>
        </w:rPr>
      </w:pPr>
      <w:r w:rsidRPr="00340EE8">
        <w:rPr>
          <w:rFonts w:cstheme="minorHAnsi"/>
          <w:sz w:val="22"/>
          <w:szCs w:val="22"/>
        </w:rPr>
        <w:t>The grantee certifies its compliance with restrictions on lobbying required by 24 CFR part 87, together with disclosure forms, if required by part 87.</w:t>
      </w:r>
    </w:p>
    <w:p w14:paraId="0EB1C5C1" w14:textId="04DEBE10" w:rsidR="006D306C" w:rsidRPr="00340EE8" w:rsidRDefault="006D306C" w:rsidP="0079443E">
      <w:pPr>
        <w:pStyle w:val="ListParagraph"/>
        <w:numPr>
          <w:ilvl w:val="0"/>
          <w:numId w:val="5"/>
        </w:numPr>
        <w:jc w:val="both"/>
        <w:rPr>
          <w:rFonts w:cstheme="minorHAnsi"/>
          <w:sz w:val="22"/>
          <w:szCs w:val="22"/>
        </w:rPr>
      </w:pPr>
      <w:r w:rsidRPr="00340EE8">
        <w:rPr>
          <w:rFonts w:cstheme="minorHAnsi"/>
          <w:sz w:val="22"/>
          <w:szCs w:val="22"/>
        </w:rPr>
        <w:t>The grantee certifies that the RHP Action Plan is authorized under state and local law (as applicable) and that the grantee, and any entity or entities designated by the grantee, and any contractor, subrecipient, or designated public agency carrying out an activity with RHP funds, possess(es) the legal authority to carry out the program for which it is seeking funding, in accordance with applicable HUD regulations and the grant requirements. The grantee certifies that activities to be undertaken with RHP funds are consistent with its RHP Action Plan.</w:t>
      </w:r>
    </w:p>
    <w:p w14:paraId="54FC2739" w14:textId="1214035E" w:rsidR="006D306C" w:rsidRPr="00340EE8" w:rsidRDefault="006D306C" w:rsidP="0079443E">
      <w:pPr>
        <w:pStyle w:val="ListParagraph"/>
        <w:numPr>
          <w:ilvl w:val="0"/>
          <w:numId w:val="5"/>
        </w:numPr>
        <w:jc w:val="both"/>
        <w:rPr>
          <w:rFonts w:cstheme="minorHAnsi"/>
          <w:sz w:val="22"/>
          <w:szCs w:val="22"/>
        </w:rPr>
      </w:pPr>
      <w:r w:rsidRPr="00340EE8">
        <w:rPr>
          <w:rFonts w:cstheme="minorHAnsi"/>
          <w:sz w:val="22"/>
          <w:szCs w:val="22"/>
        </w:rPr>
        <w:t>The grantee certifies that it will comply with the acquisition and relocation requirements of the Uniform Relocation Assistance and Real Property Acquisition Policies Act of 1970, as amended (42 U.S.C. 4601 et seq.), and implementing regulations at 49 CFR part 24, except where waivers or alternative requirements are provided.</w:t>
      </w:r>
    </w:p>
    <w:p w14:paraId="687992B1" w14:textId="3980F7D5" w:rsidR="006D306C" w:rsidRPr="00340EE8" w:rsidRDefault="006D306C" w:rsidP="0079443E">
      <w:pPr>
        <w:pStyle w:val="ListParagraph"/>
        <w:numPr>
          <w:ilvl w:val="0"/>
          <w:numId w:val="5"/>
        </w:numPr>
        <w:jc w:val="both"/>
        <w:rPr>
          <w:rFonts w:cstheme="minorHAnsi"/>
          <w:sz w:val="22"/>
          <w:szCs w:val="22"/>
        </w:rPr>
      </w:pPr>
      <w:r w:rsidRPr="00340EE8">
        <w:rPr>
          <w:rFonts w:cstheme="minorHAnsi"/>
          <w:sz w:val="22"/>
          <w:szCs w:val="22"/>
        </w:rPr>
        <w:t>The grantee certifies that it will comply with section 3 of the Housing and Urban Development Act of 1968 (12 U.S.C. 1701u) and implementing regulations at 24 CFR part 135.</w:t>
      </w:r>
    </w:p>
    <w:p w14:paraId="0941FD35" w14:textId="6C28E6DC" w:rsidR="006D306C" w:rsidRPr="00340EE8" w:rsidRDefault="006D306C" w:rsidP="0079443E">
      <w:pPr>
        <w:pStyle w:val="ListParagraph"/>
        <w:numPr>
          <w:ilvl w:val="0"/>
          <w:numId w:val="5"/>
        </w:numPr>
        <w:jc w:val="both"/>
        <w:rPr>
          <w:rFonts w:cstheme="minorHAnsi"/>
          <w:sz w:val="22"/>
          <w:szCs w:val="22"/>
        </w:rPr>
      </w:pPr>
      <w:r w:rsidRPr="00340EE8">
        <w:rPr>
          <w:rFonts w:cstheme="minorHAnsi"/>
          <w:sz w:val="22"/>
          <w:szCs w:val="22"/>
        </w:rPr>
        <w:t xml:space="preserve">The grantee certifies that it is following a citizen participation plan adopted pursuant to 24 CFR 91.115 or 91.105 (as imposed in notices for its RHP grant). Also, each unit of general local government receiving RHP assistance from a state must comply with the citizen participation requirements of 24 CFR 570.486(a)(1) through (a)(7) for proposed and actual uses of RHP funding </w:t>
      </w:r>
      <w:r w:rsidRPr="00340EE8">
        <w:rPr>
          <w:rFonts w:cstheme="minorHAnsi"/>
          <w:sz w:val="22"/>
          <w:szCs w:val="22"/>
        </w:rPr>
        <w:lastRenderedPageBreak/>
        <w:t>(except as provided in Federal Register notices providing waivers and alternative requirements for the use of RHP funds).</w:t>
      </w:r>
    </w:p>
    <w:p w14:paraId="439B91DA" w14:textId="29F98D1E" w:rsidR="006D306C" w:rsidRPr="00340EE8" w:rsidRDefault="006D306C" w:rsidP="0079443E">
      <w:pPr>
        <w:pStyle w:val="ListParagraph"/>
        <w:numPr>
          <w:ilvl w:val="0"/>
          <w:numId w:val="5"/>
        </w:numPr>
        <w:jc w:val="both"/>
        <w:rPr>
          <w:rFonts w:cstheme="minorHAnsi"/>
          <w:sz w:val="22"/>
          <w:szCs w:val="22"/>
        </w:rPr>
      </w:pPr>
      <w:r w:rsidRPr="00340EE8">
        <w:rPr>
          <w:rFonts w:cstheme="minorHAnsi"/>
          <w:sz w:val="22"/>
          <w:szCs w:val="22"/>
        </w:rPr>
        <w:t>The grantee certifies that it is complying with each of the following criteria: (1) funds will be used solely for allowable activities to provide individuals in recovery from a substance use disorder stable, temporary housing for a period of not more than 2 years or until the individual secures permanent housing, whichever is earlier; (2) with respect to activities expected to be assisted with RHP funds, the RHP Action Plan has been developed so as to give the maximum feasible priority to activities that will benefit low- and moderate-income individuals and families; (3) the aggregate use of RHP funds shall principally benefit low- and moderate-income families in a manner that ensures the grant amount is expended for activities that benefit such persons; and (4) the grantee will not attempt to recover any capital costs of public improvements assisted with RHP grant funds, by assessing any amount against properties owned and occupied by persons of low- and moderate-income, including any fee charged or assessment made as a condition of obtaining access to such public improvements, unless: (a) RHP grant funds are used to pay the proportion of such fee or assessment that relates to the capital costs of such public improvements that are financed from revenue sources other than RHP; or (b) for purposes of assessing any amount against properties owned and occupied by persons of moderate income, the grantee certifies to the Secretary that it lacks sufficient RHP funds (in any form, including program income) to comply with the requirements of clause (a).</w:t>
      </w:r>
    </w:p>
    <w:p w14:paraId="4237297E" w14:textId="3FBA3D16" w:rsidR="006D306C" w:rsidRPr="00340EE8" w:rsidRDefault="006D306C" w:rsidP="0079443E">
      <w:pPr>
        <w:pStyle w:val="ListParagraph"/>
        <w:numPr>
          <w:ilvl w:val="0"/>
          <w:numId w:val="5"/>
        </w:numPr>
        <w:jc w:val="both"/>
        <w:rPr>
          <w:rFonts w:cstheme="minorHAnsi"/>
          <w:sz w:val="22"/>
          <w:szCs w:val="22"/>
        </w:rPr>
      </w:pPr>
      <w:r w:rsidRPr="00340EE8">
        <w:rPr>
          <w:rFonts w:cstheme="minorHAnsi"/>
          <w:sz w:val="22"/>
          <w:szCs w:val="22"/>
        </w:rPr>
        <w:t>The grantee certifies that the grant will be conducted and administered in conformity with title VI of the Civil Rights Act of 1964 (42 U.S.C. 2000d), the Fair Housing Act (42 U.S.C. 3601-3619), and implementing regulations, and that it will affirmatively further fair housing.</w:t>
      </w:r>
    </w:p>
    <w:p w14:paraId="79775367" w14:textId="0EAA8BEC" w:rsidR="006D306C" w:rsidRPr="00340EE8" w:rsidRDefault="006D306C" w:rsidP="0079443E">
      <w:pPr>
        <w:pStyle w:val="ListParagraph"/>
        <w:numPr>
          <w:ilvl w:val="0"/>
          <w:numId w:val="5"/>
        </w:numPr>
        <w:jc w:val="both"/>
        <w:rPr>
          <w:rFonts w:cstheme="minorHAnsi"/>
          <w:sz w:val="22"/>
          <w:szCs w:val="22"/>
        </w:rPr>
      </w:pPr>
      <w:r w:rsidRPr="00340EE8">
        <w:rPr>
          <w:rFonts w:cstheme="minorHAnsi"/>
          <w:sz w:val="22"/>
          <w:szCs w:val="22"/>
        </w:rPr>
        <w:t>The grantee certifies that it has adopted and is enforcing the following policies, and, in addition, must certify that it will require local governments that receive grant funds to certify that they have adopted and are enforcing: (1) a policy prohibiting the use of excessive force by law enforcement agencies within its jurisdiction against any individuals engaged in nonviolent civil rights demonstrations; and (2) a policy of enforcing applicable state and local laws against physically barring entrance to or exit from a facility or location that is the subject of such nonviolent civil rights demonstrations within its jurisdiction.</w:t>
      </w:r>
    </w:p>
    <w:p w14:paraId="71C786A8" w14:textId="3A4FECDB" w:rsidR="006D306C" w:rsidRPr="00340EE8" w:rsidRDefault="006D306C" w:rsidP="0079443E">
      <w:pPr>
        <w:pStyle w:val="ListParagraph"/>
        <w:numPr>
          <w:ilvl w:val="0"/>
          <w:numId w:val="5"/>
        </w:numPr>
        <w:jc w:val="both"/>
        <w:rPr>
          <w:rFonts w:cstheme="minorHAnsi"/>
          <w:sz w:val="22"/>
          <w:szCs w:val="22"/>
        </w:rPr>
      </w:pPr>
      <w:r w:rsidRPr="00340EE8">
        <w:rPr>
          <w:rFonts w:cstheme="minorHAnsi"/>
          <w:sz w:val="22"/>
          <w:szCs w:val="22"/>
        </w:rPr>
        <w:t>The grantee certifies that the grant will be conducted and administered in conformity with the requirements of the Religious Freedom Restoration Act (42 U.S.C. 2000bb) and 24 CFR 5.109, allowing the full and fair participation of faith-based entities.</w:t>
      </w:r>
    </w:p>
    <w:p w14:paraId="0E85DF22" w14:textId="1921D231" w:rsidR="006D306C" w:rsidRPr="00340EE8" w:rsidRDefault="006D306C" w:rsidP="0079443E">
      <w:pPr>
        <w:pStyle w:val="ListParagraph"/>
        <w:numPr>
          <w:ilvl w:val="0"/>
          <w:numId w:val="5"/>
        </w:numPr>
        <w:jc w:val="both"/>
        <w:rPr>
          <w:rFonts w:cstheme="minorHAnsi"/>
          <w:sz w:val="22"/>
          <w:szCs w:val="22"/>
        </w:rPr>
      </w:pPr>
      <w:r w:rsidRPr="00340EE8">
        <w:rPr>
          <w:rFonts w:cstheme="minorHAnsi"/>
          <w:sz w:val="22"/>
          <w:szCs w:val="22"/>
        </w:rPr>
        <w:t>The grantee certifies that it (and any subrecipient or administering entity) currently has or will develop and maintain the capacity to carry out RHP eligible activities in a timely manner and that the grantee has reviewed the requirements of the grant.</w:t>
      </w:r>
    </w:p>
    <w:p w14:paraId="40CDD7D2" w14:textId="0798663D" w:rsidR="006D306C" w:rsidRPr="00340EE8" w:rsidRDefault="006D306C" w:rsidP="0079443E">
      <w:pPr>
        <w:pStyle w:val="ListParagraph"/>
        <w:numPr>
          <w:ilvl w:val="0"/>
          <w:numId w:val="5"/>
        </w:numPr>
        <w:jc w:val="both"/>
        <w:rPr>
          <w:rFonts w:cstheme="minorHAnsi"/>
          <w:sz w:val="22"/>
          <w:szCs w:val="22"/>
        </w:rPr>
      </w:pPr>
      <w:r w:rsidRPr="00340EE8">
        <w:rPr>
          <w:rFonts w:cstheme="minorHAnsi"/>
          <w:sz w:val="22"/>
          <w:szCs w:val="22"/>
        </w:rPr>
        <w:t>The grantee certifies that its activities concerning lead-based paint will comply with the requirements of HUD's lead-based paint rules (Lead Disclosure; and Lead Safe Housing (24 CFR part 35)), and EPA's lead-based paint rules (e.g., Repair, Renovation and Painting; Pre-Renovation Education; and Lead Training and Certification (40 CFR part 745)).</w:t>
      </w:r>
    </w:p>
    <w:p w14:paraId="33DD5D2B" w14:textId="6714F487" w:rsidR="006D306C" w:rsidRPr="00340EE8" w:rsidRDefault="006D306C" w:rsidP="0079443E">
      <w:pPr>
        <w:pStyle w:val="ListParagraph"/>
        <w:numPr>
          <w:ilvl w:val="0"/>
          <w:numId w:val="5"/>
        </w:numPr>
        <w:jc w:val="both"/>
        <w:rPr>
          <w:rFonts w:cstheme="minorHAnsi"/>
          <w:sz w:val="22"/>
          <w:szCs w:val="22"/>
        </w:rPr>
      </w:pPr>
      <w:r w:rsidRPr="00340EE8">
        <w:rPr>
          <w:rFonts w:cstheme="minorHAnsi"/>
          <w:sz w:val="22"/>
          <w:szCs w:val="22"/>
        </w:rPr>
        <w:t>The grantee certifies that it will comply with environmental review procedures and requirements at 24 CFR part 58.</w:t>
      </w:r>
    </w:p>
    <w:p w14:paraId="6C629046" w14:textId="506142B5" w:rsidR="00DB568C" w:rsidRPr="00340EE8" w:rsidRDefault="006D306C" w:rsidP="0079443E">
      <w:pPr>
        <w:pStyle w:val="ListParagraph"/>
        <w:numPr>
          <w:ilvl w:val="0"/>
          <w:numId w:val="5"/>
        </w:numPr>
        <w:jc w:val="both"/>
        <w:rPr>
          <w:rFonts w:cstheme="minorHAnsi"/>
          <w:sz w:val="22"/>
          <w:szCs w:val="22"/>
        </w:rPr>
      </w:pPr>
      <w:r w:rsidRPr="00340EE8">
        <w:rPr>
          <w:rFonts w:cstheme="minorHAnsi"/>
          <w:sz w:val="22"/>
          <w:szCs w:val="22"/>
        </w:rPr>
        <w:lastRenderedPageBreak/>
        <w:t>The grantee certifies that it will comply with applicable laws.</w:t>
      </w:r>
    </w:p>
    <w:sectPr w:rsidR="00DB568C" w:rsidRPr="00340EE8" w:rsidSect="00DF4AF7">
      <w:footerReference w:type="default" r:id="rId16"/>
      <w:type w:val="continuous"/>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C2690" w14:textId="77777777" w:rsidR="00C7441E" w:rsidRDefault="00C7441E" w:rsidP="00D92D73">
      <w:pPr>
        <w:spacing w:before="0" w:after="0" w:line="240" w:lineRule="auto"/>
      </w:pPr>
      <w:r>
        <w:separator/>
      </w:r>
    </w:p>
  </w:endnote>
  <w:endnote w:type="continuationSeparator" w:id="0">
    <w:p w14:paraId="76D0B627" w14:textId="77777777" w:rsidR="00C7441E" w:rsidRDefault="00C7441E" w:rsidP="00D92D7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7428802"/>
      <w:docPartObj>
        <w:docPartGallery w:val="Page Numbers (Bottom of Page)"/>
        <w:docPartUnique/>
      </w:docPartObj>
    </w:sdtPr>
    <w:sdtEndPr>
      <w:rPr>
        <w:color w:val="7F7F7F" w:themeColor="background1" w:themeShade="7F"/>
        <w:spacing w:val="60"/>
      </w:rPr>
    </w:sdtEndPr>
    <w:sdtContent>
      <w:p w14:paraId="15C600D7" w14:textId="77777777" w:rsidR="00FE1C38" w:rsidRDefault="00FE1C38">
        <w:pPr>
          <w:pStyle w:val="Footer"/>
          <w:pBdr>
            <w:top w:val="single" w:sz="4" w:space="1" w:color="D9D9D9" w:themeColor="background1" w:themeShade="D9"/>
          </w:pBdr>
          <w:jc w:val="right"/>
        </w:pPr>
      </w:p>
      <w:p w14:paraId="3CAF0EEE" w14:textId="69FFCF71" w:rsidR="00FE1C38" w:rsidRDefault="00FE1C38">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2C27321F" w14:textId="77777777" w:rsidR="00126D57" w:rsidRDefault="00126D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A259E" w14:textId="77777777" w:rsidR="00C7441E" w:rsidRDefault="00C7441E" w:rsidP="00D92D73">
      <w:pPr>
        <w:spacing w:before="0" w:after="0" w:line="240" w:lineRule="auto"/>
      </w:pPr>
      <w:r>
        <w:separator/>
      </w:r>
    </w:p>
  </w:footnote>
  <w:footnote w:type="continuationSeparator" w:id="0">
    <w:p w14:paraId="5DF2ECEE" w14:textId="77777777" w:rsidR="00C7441E" w:rsidRDefault="00C7441E" w:rsidP="00D92D73">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43629"/>
    <w:multiLevelType w:val="hybridMultilevel"/>
    <w:tmpl w:val="EE4EC22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590232"/>
    <w:multiLevelType w:val="hybridMultilevel"/>
    <w:tmpl w:val="BCAA604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1D35E2"/>
    <w:multiLevelType w:val="hybridMultilevel"/>
    <w:tmpl w:val="98CA2D46"/>
    <w:lvl w:ilvl="0" w:tplc="04090013">
      <w:start w:val="1"/>
      <w:numFmt w:val="upp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7A8005E"/>
    <w:multiLevelType w:val="hybridMultilevel"/>
    <w:tmpl w:val="016A8DBC"/>
    <w:lvl w:ilvl="0" w:tplc="0409000F">
      <w:start w:val="1"/>
      <w:numFmt w:val="decimal"/>
      <w:lvlText w:val="%1."/>
      <w:lvlJc w:val="left"/>
      <w:pPr>
        <w:ind w:left="360" w:hanging="360"/>
      </w:pPr>
      <w:rPr>
        <w:rFonts w:hint="default"/>
      </w:rPr>
    </w:lvl>
    <w:lvl w:ilvl="1" w:tplc="FFFFFFFF">
      <w:start w:val="1"/>
      <w:numFmt w:val="lowerRoman"/>
      <w:lvlText w:val="%2."/>
      <w:lvlJc w:val="right"/>
      <w:pPr>
        <w:ind w:left="1080" w:hanging="360"/>
      </w:pPr>
      <w:rPr>
        <w:b w:val="0"/>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27C14F93"/>
    <w:multiLevelType w:val="hybridMultilevel"/>
    <w:tmpl w:val="0624C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6B4B9A"/>
    <w:multiLevelType w:val="hybridMultilevel"/>
    <w:tmpl w:val="425E9868"/>
    <w:lvl w:ilvl="0" w:tplc="5420BE92">
      <w:start w:val="1"/>
      <w:numFmt w:val="upperRoman"/>
      <w:lvlText w:val="%1."/>
      <w:lvlJc w:val="right"/>
      <w:pPr>
        <w:ind w:left="360" w:hanging="360"/>
      </w:pPr>
      <w:rPr>
        <w:rFonts w:hint="default"/>
        <w:b/>
        <w:bCs/>
      </w:rPr>
    </w:lvl>
    <w:lvl w:ilvl="1" w:tplc="FFFFFFFF">
      <w:start w:val="1"/>
      <w:numFmt w:val="lowerRoman"/>
      <w:lvlText w:val="%2."/>
      <w:lvlJc w:val="right"/>
      <w:pPr>
        <w:ind w:left="1080" w:hanging="360"/>
      </w:pPr>
      <w:rPr>
        <w:b w:val="0"/>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28BD2461"/>
    <w:multiLevelType w:val="hybridMultilevel"/>
    <w:tmpl w:val="F3384842"/>
    <w:lvl w:ilvl="0" w:tplc="AEF2FB86">
      <w:start w:val="1"/>
      <w:numFmt w:val="upperLetter"/>
      <w:lvlText w:val="%1."/>
      <w:lvlJc w:val="left"/>
      <w:pPr>
        <w:ind w:left="360" w:hanging="360"/>
      </w:pPr>
      <w:rPr>
        <w:rFonts w:hint="default"/>
      </w:rPr>
    </w:lvl>
    <w:lvl w:ilvl="1" w:tplc="59B872F6">
      <w:start w:val="1"/>
      <w:numFmt w:val="lowerRoman"/>
      <w:lvlText w:val="%2."/>
      <w:lvlJc w:val="right"/>
      <w:pPr>
        <w:ind w:left="1080" w:hanging="360"/>
      </w:pPr>
      <w:rPr>
        <w:b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5716D57"/>
    <w:multiLevelType w:val="hybridMultilevel"/>
    <w:tmpl w:val="D708E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D36F9A"/>
    <w:multiLevelType w:val="hybridMultilevel"/>
    <w:tmpl w:val="88E0A156"/>
    <w:lvl w:ilvl="0" w:tplc="EDA698F8">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CB38DB"/>
    <w:multiLevelType w:val="hybridMultilevel"/>
    <w:tmpl w:val="90DCD58C"/>
    <w:lvl w:ilvl="0" w:tplc="EDA698F8">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01499C"/>
    <w:multiLevelType w:val="hybridMultilevel"/>
    <w:tmpl w:val="32987A8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11253587">
    <w:abstractNumId w:val="9"/>
  </w:num>
  <w:num w:numId="2" w16cid:durableId="1631278460">
    <w:abstractNumId w:val="2"/>
  </w:num>
  <w:num w:numId="3" w16cid:durableId="1752507774">
    <w:abstractNumId w:val="0"/>
  </w:num>
  <w:num w:numId="4" w16cid:durableId="177886493">
    <w:abstractNumId w:val="1"/>
  </w:num>
  <w:num w:numId="5" w16cid:durableId="1149899648">
    <w:abstractNumId w:val="10"/>
  </w:num>
  <w:num w:numId="6" w16cid:durableId="1144472621">
    <w:abstractNumId w:val="8"/>
  </w:num>
  <w:num w:numId="7" w16cid:durableId="703288364">
    <w:abstractNumId w:val="6"/>
  </w:num>
  <w:num w:numId="8" w16cid:durableId="1058555601">
    <w:abstractNumId w:val="3"/>
  </w:num>
  <w:num w:numId="9" w16cid:durableId="253981959">
    <w:abstractNumId w:val="5"/>
  </w:num>
  <w:num w:numId="10" w16cid:durableId="21395538">
    <w:abstractNumId w:val="7"/>
  </w:num>
  <w:num w:numId="11" w16cid:durableId="2669337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2"/>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06C"/>
    <w:rsid w:val="00005D6B"/>
    <w:rsid w:val="000237A0"/>
    <w:rsid w:val="00090948"/>
    <w:rsid w:val="000B0296"/>
    <w:rsid w:val="000F3854"/>
    <w:rsid w:val="00104BFD"/>
    <w:rsid w:val="00126D57"/>
    <w:rsid w:val="00153479"/>
    <w:rsid w:val="00157B73"/>
    <w:rsid w:val="00174F56"/>
    <w:rsid w:val="001A4CB3"/>
    <w:rsid w:val="001A6E6B"/>
    <w:rsid w:val="001E33B7"/>
    <w:rsid w:val="00212370"/>
    <w:rsid w:val="00223BFE"/>
    <w:rsid w:val="00245B47"/>
    <w:rsid w:val="00295005"/>
    <w:rsid w:val="002B72F0"/>
    <w:rsid w:val="002E2D0B"/>
    <w:rsid w:val="002F74A7"/>
    <w:rsid w:val="0030173E"/>
    <w:rsid w:val="00340EE8"/>
    <w:rsid w:val="00343210"/>
    <w:rsid w:val="004014E8"/>
    <w:rsid w:val="004147FF"/>
    <w:rsid w:val="00471A05"/>
    <w:rsid w:val="00497AED"/>
    <w:rsid w:val="004B0A30"/>
    <w:rsid w:val="004B6252"/>
    <w:rsid w:val="004D0348"/>
    <w:rsid w:val="004E7839"/>
    <w:rsid w:val="004F54BC"/>
    <w:rsid w:val="00554E68"/>
    <w:rsid w:val="00564EB7"/>
    <w:rsid w:val="00585DD0"/>
    <w:rsid w:val="005C5705"/>
    <w:rsid w:val="005D2C0E"/>
    <w:rsid w:val="005D38D3"/>
    <w:rsid w:val="00615D6F"/>
    <w:rsid w:val="00643644"/>
    <w:rsid w:val="00645996"/>
    <w:rsid w:val="0065799E"/>
    <w:rsid w:val="006D306C"/>
    <w:rsid w:val="00730864"/>
    <w:rsid w:val="00741D7C"/>
    <w:rsid w:val="00746C58"/>
    <w:rsid w:val="00781B7C"/>
    <w:rsid w:val="00790CFE"/>
    <w:rsid w:val="0079443E"/>
    <w:rsid w:val="007C22D4"/>
    <w:rsid w:val="007E6EE0"/>
    <w:rsid w:val="008020A2"/>
    <w:rsid w:val="008168C3"/>
    <w:rsid w:val="0086188B"/>
    <w:rsid w:val="008C2CDB"/>
    <w:rsid w:val="008D4C1D"/>
    <w:rsid w:val="008D71E8"/>
    <w:rsid w:val="008E6F8F"/>
    <w:rsid w:val="00914F81"/>
    <w:rsid w:val="00933FAC"/>
    <w:rsid w:val="009A1D5B"/>
    <w:rsid w:val="009A4EF2"/>
    <w:rsid w:val="009E118C"/>
    <w:rsid w:val="00A36B89"/>
    <w:rsid w:val="00A77D94"/>
    <w:rsid w:val="00A9731E"/>
    <w:rsid w:val="00B41723"/>
    <w:rsid w:val="00B60CEC"/>
    <w:rsid w:val="00B759FC"/>
    <w:rsid w:val="00BB7AE9"/>
    <w:rsid w:val="00C463AA"/>
    <w:rsid w:val="00C54013"/>
    <w:rsid w:val="00C65834"/>
    <w:rsid w:val="00C664EE"/>
    <w:rsid w:val="00C7441E"/>
    <w:rsid w:val="00C85E3F"/>
    <w:rsid w:val="00CA0BBA"/>
    <w:rsid w:val="00CC2B21"/>
    <w:rsid w:val="00D363C0"/>
    <w:rsid w:val="00D42430"/>
    <w:rsid w:val="00D46D36"/>
    <w:rsid w:val="00D761DD"/>
    <w:rsid w:val="00D839EB"/>
    <w:rsid w:val="00D91FE3"/>
    <w:rsid w:val="00D92D73"/>
    <w:rsid w:val="00DB568C"/>
    <w:rsid w:val="00DF3AC1"/>
    <w:rsid w:val="00DF4AF7"/>
    <w:rsid w:val="00E36310"/>
    <w:rsid w:val="00E53106"/>
    <w:rsid w:val="00E72490"/>
    <w:rsid w:val="00ED30E1"/>
    <w:rsid w:val="00EF4C7B"/>
    <w:rsid w:val="00F25526"/>
    <w:rsid w:val="00F40246"/>
    <w:rsid w:val="00F44931"/>
    <w:rsid w:val="00F67B35"/>
    <w:rsid w:val="00FC0F4C"/>
    <w:rsid w:val="00FC34C9"/>
    <w:rsid w:val="00FE1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86DE589"/>
  <w15:docId w15:val="{49178191-963D-4E00-8867-144FA3C74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06C"/>
  </w:style>
  <w:style w:type="paragraph" w:styleId="Heading1">
    <w:name w:val="heading 1"/>
    <w:basedOn w:val="Normal"/>
    <w:next w:val="Normal"/>
    <w:link w:val="Heading1Char"/>
    <w:uiPriority w:val="9"/>
    <w:qFormat/>
    <w:rsid w:val="00C85E3F"/>
    <w:pPr>
      <w:pBdr>
        <w:top w:val="single" w:sz="24" w:space="0" w:color="2E96B6"/>
        <w:left w:val="single" w:sz="24" w:space="0" w:color="2E96B6"/>
        <w:bottom w:val="single" w:sz="24" w:space="0" w:color="2E96B6"/>
        <w:right w:val="single" w:sz="24" w:space="0" w:color="2E96B6"/>
      </w:pBdr>
      <w:shd w:val="clear" w:color="auto" w:fill="2E96B6"/>
      <w:spacing w:after="0"/>
      <w:outlineLvl w:val="0"/>
    </w:pPr>
    <w:rPr>
      <w:caps/>
      <w:color w:val="FFFFFF" w:themeColor="background1"/>
      <w:spacing w:val="15"/>
      <w:sz w:val="24"/>
      <w:szCs w:val="22"/>
    </w:rPr>
  </w:style>
  <w:style w:type="paragraph" w:styleId="Heading2">
    <w:name w:val="heading 2"/>
    <w:basedOn w:val="Normal"/>
    <w:next w:val="Normal"/>
    <w:link w:val="Heading2Char"/>
    <w:uiPriority w:val="9"/>
    <w:unhideWhenUsed/>
    <w:qFormat/>
    <w:rsid w:val="00340EE8"/>
    <w:pPr>
      <w:shd w:val="clear" w:color="auto" w:fill="5DC7D9"/>
      <w:spacing w:after="0"/>
      <w:outlineLvl w:val="1"/>
    </w:pPr>
    <w:rPr>
      <w:caps/>
      <w:spacing w:val="15"/>
      <w:sz w:val="22"/>
    </w:rPr>
  </w:style>
  <w:style w:type="paragraph" w:styleId="Heading3">
    <w:name w:val="heading 3"/>
    <w:basedOn w:val="Normal"/>
    <w:next w:val="Normal"/>
    <w:link w:val="Heading3Char"/>
    <w:uiPriority w:val="9"/>
    <w:unhideWhenUsed/>
    <w:qFormat/>
    <w:rsid w:val="00C85E3F"/>
    <w:pPr>
      <w:pBdr>
        <w:top w:val="single" w:sz="6" w:space="2" w:color="2E96B6"/>
      </w:pBdr>
      <w:spacing w:before="300" w:after="0"/>
      <w:outlineLvl w:val="2"/>
    </w:pPr>
    <w:rPr>
      <w:caps/>
      <w:color w:val="2E96B6"/>
      <w:spacing w:val="15"/>
      <w:sz w:val="22"/>
    </w:rPr>
  </w:style>
  <w:style w:type="paragraph" w:styleId="Heading4">
    <w:name w:val="heading 4"/>
    <w:basedOn w:val="Normal"/>
    <w:next w:val="Normal"/>
    <w:link w:val="Heading4Char"/>
    <w:uiPriority w:val="9"/>
    <w:semiHidden/>
    <w:unhideWhenUsed/>
    <w:qFormat/>
    <w:rsid w:val="006D306C"/>
    <w:pPr>
      <w:pBdr>
        <w:top w:val="dotted" w:sz="6" w:space="2" w:color="4472C4" w:themeColor="accent1"/>
      </w:pBdr>
      <w:spacing w:before="200" w:after="0"/>
      <w:outlineLvl w:val="3"/>
    </w:pPr>
    <w:rPr>
      <w:caps/>
      <w:color w:val="2F5496" w:themeColor="accent1" w:themeShade="BF"/>
      <w:spacing w:val="10"/>
    </w:rPr>
  </w:style>
  <w:style w:type="paragraph" w:styleId="Heading5">
    <w:name w:val="heading 5"/>
    <w:basedOn w:val="Normal"/>
    <w:next w:val="Normal"/>
    <w:link w:val="Heading5Char"/>
    <w:uiPriority w:val="9"/>
    <w:semiHidden/>
    <w:unhideWhenUsed/>
    <w:qFormat/>
    <w:rsid w:val="006D306C"/>
    <w:pPr>
      <w:pBdr>
        <w:bottom w:val="single" w:sz="6" w:space="1" w:color="4472C4" w:themeColor="accent1"/>
      </w:pBdr>
      <w:spacing w:before="200" w:after="0"/>
      <w:outlineLvl w:val="4"/>
    </w:pPr>
    <w:rPr>
      <w:caps/>
      <w:color w:val="2F5496" w:themeColor="accent1" w:themeShade="BF"/>
      <w:spacing w:val="10"/>
    </w:rPr>
  </w:style>
  <w:style w:type="paragraph" w:styleId="Heading6">
    <w:name w:val="heading 6"/>
    <w:basedOn w:val="Normal"/>
    <w:next w:val="Normal"/>
    <w:link w:val="Heading6Char"/>
    <w:uiPriority w:val="9"/>
    <w:semiHidden/>
    <w:unhideWhenUsed/>
    <w:qFormat/>
    <w:rsid w:val="006D306C"/>
    <w:pPr>
      <w:pBdr>
        <w:bottom w:val="dotted" w:sz="6" w:space="1" w:color="4472C4" w:themeColor="accent1"/>
      </w:pBdr>
      <w:spacing w:before="200" w:after="0"/>
      <w:outlineLvl w:val="5"/>
    </w:pPr>
    <w:rPr>
      <w:caps/>
      <w:color w:val="2F5496" w:themeColor="accent1" w:themeShade="BF"/>
      <w:spacing w:val="10"/>
    </w:rPr>
  </w:style>
  <w:style w:type="paragraph" w:styleId="Heading7">
    <w:name w:val="heading 7"/>
    <w:basedOn w:val="Normal"/>
    <w:next w:val="Normal"/>
    <w:link w:val="Heading7Char"/>
    <w:uiPriority w:val="9"/>
    <w:semiHidden/>
    <w:unhideWhenUsed/>
    <w:qFormat/>
    <w:rsid w:val="006D306C"/>
    <w:pPr>
      <w:spacing w:before="200" w:after="0"/>
      <w:outlineLvl w:val="6"/>
    </w:pPr>
    <w:rPr>
      <w:caps/>
      <w:color w:val="2F5496" w:themeColor="accent1" w:themeShade="BF"/>
      <w:spacing w:val="10"/>
    </w:rPr>
  </w:style>
  <w:style w:type="paragraph" w:styleId="Heading8">
    <w:name w:val="heading 8"/>
    <w:basedOn w:val="Normal"/>
    <w:next w:val="Normal"/>
    <w:link w:val="Heading8Char"/>
    <w:uiPriority w:val="9"/>
    <w:semiHidden/>
    <w:unhideWhenUsed/>
    <w:qFormat/>
    <w:rsid w:val="006D306C"/>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6D306C"/>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5E3F"/>
    <w:rPr>
      <w:caps/>
      <w:color w:val="FFFFFF" w:themeColor="background1"/>
      <w:spacing w:val="15"/>
      <w:sz w:val="24"/>
      <w:szCs w:val="22"/>
      <w:shd w:val="clear" w:color="auto" w:fill="2E96B6"/>
    </w:rPr>
  </w:style>
  <w:style w:type="character" w:customStyle="1" w:styleId="Heading2Char">
    <w:name w:val="Heading 2 Char"/>
    <w:basedOn w:val="DefaultParagraphFont"/>
    <w:link w:val="Heading2"/>
    <w:uiPriority w:val="9"/>
    <w:rsid w:val="00340EE8"/>
    <w:rPr>
      <w:caps/>
      <w:spacing w:val="15"/>
      <w:sz w:val="22"/>
      <w:shd w:val="clear" w:color="auto" w:fill="5DC7D9"/>
    </w:rPr>
  </w:style>
  <w:style w:type="character" w:customStyle="1" w:styleId="Heading3Char">
    <w:name w:val="Heading 3 Char"/>
    <w:basedOn w:val="DefaultParagraphFont"/>
    <w:link w:val="Heading3"/>
    <w:uiPriority w:val="9"/>
    <w:rsid w:val="00C85E3F"/>
    <w:rPr>
      <w:caps/>
      <w:color w:val="2E96B6"/>
      <w:spacing w:val="15"/>
      <w:sz w:val="22"/>
    </w:rPr>
  </w:style>
  <w:style w:type="character" w:customStyle="1" w:styleId="Heading4Char">
    <w:name w:val="Heading 4 Char"/>
    <w:basedOn w:val="DefaultParagraphFont"/>
    <w:link w:val="Heading4"/>
    <w:uiPriority w:val="9"/>
    <w:semiHidden/>
    <w:rsid w:val="006D306C"/>
    <w:rPr>
      <w:caps/>
      <w:color w:val="2F5496" w:themeColor="accent1" w:themeShade="BF"/>
      <w:spacing w:val="10"/>
    </w:rPr>
  </w:style>
  <w:style w:type="character" w:customStyle="1" w:styleId="Heading5Char">
    <w:name w:val="Heading 5 Char"/>
    <w:basedOn w:val="DefaultParagraphFont"/>
    <w:link w:val="Heading5"/>
    <w:uiPriority w:val="9"/>
    <w:semiHidden/>
    <w:rsid w:val="006D306C"/>
    <w:rPr>
      <w:caps/>
      <w:color w:val="2F5496" w:themeColor="accent1" w:themeShade="BF"/>
      <w:spacing w:val="10"/>
    </w:rPr>
  </w:style>
  <w:style w:type="character" w:customStyle="1" w:styleId="Heading6Char">
    <w:name w:val="Heading 6 Char"/>
    <w:basedOn w:val="DefaultParagraphFont"/>
    <w:link w:val="Heading6"/>
    <w:uiPriority w:val="9"/>
    <w:semiHidden/>
    <w:rsid w:val="006D306C"/>
    <w:rPr>
      <w:caps/>
      <w:color w:val="2F5496" w:themeColor="accent1" w:themeShade="BF"/>
      <w:spacing w:val="10"/>
    </w:rPr>
  </w:style>
  <w:style w:type="character" w:customStyle="1" w:styleId="Heading7Char">
    <w:name w:val="Heading 7 Char"/>
    <w:basedOn w:val="DefaultParagraphFont"/>
    <w:link w:val="Heading7"/>
    <w:uiPriority w:val="9"/>
    <w:semiHidden/>
    <w:rsid w:val="006D306C"/>
    <w:rPr>
      <w:caps/>
      <w:color w:val="2F5496" w:themeColor="accent1" w:themeShade="BF"/>
      <w:spacing w:val="10"/>
    </w:rPr>
  </w:style>
  <w:style w:type="character" w:customStyle="1" w:styleId="Heading8Char">
    <w:name w:val="Heading 8 Char"/>
    <w:basedOn w:val="DefaultParagraphFont"/>
    <w:link w:val="Heading8"/>
    <w:uiPriority w:val="9"/>
    <w:semiHidden/>
    <w:rsid w:val="006D306C"/>
    <w:rPr>
      <w:caps/>
      <w:spacing w:val="10"/>
      <w:sz w:val="18"/>
      <w:szCs w:val="18"/>
    </w:rPr>
  </w:style>
  <w:style w:type="character" w:customStyle="1" w:styleId="Heading9Char">
    <w:name w:val="Heading 9 Char"/>
    <w:basedOn w:val="DefaultParagraphFont"/>
    <w:link w:val="Heading9"/>
    <w:uiPriority w:val="9"/>
    <w:semiHidden/>
    <w:rsid w:val="006D306C"/>
    <w:rPr>
      <w:i/>
      <w:iCs/>
      <w:caps/>
      <w:spacing w:val="10"/>
      <w:sz w:val="18"/>
      <w:szCs w:val="18"/>
    </w:rPr>
  </w:style>
  <w:style w:type="paragraph" w:styleId="Caption">
    <w:name w:val="caption"/>
    <w:basedOn w:val="Normal"/>
    <w:next w:val="Normal"/>
    <w:uiPriority w:val="35"/>
    <w:semiHidden/>
    <w:unhideWhenUsed/>
    <w:qFormat/>
    <w:rsid w:val="006D306C"/>
    <w:rPr>
      <w:b/>
      <w:bCs/>
      <w:color w:val="2F5496" w:themeColor="accent1" w:themeShade="BF"/>
      <w:sz w:val="16"/>
      <w:szCs w:val="16"/>
    </w:rPr>
  </w:style>
  <w:style w:type="paragraph" w:styleId="Title">
    <w:name w:val="Title"/>
    <w:basedOn w:val="Normal"/>
    <w:next w:val="Normal"/>
    <w:link w:val="TitleChar"/>
    <w:uiPriority w:val="10"/>
    <w:qFormat/>
    <w:rsid w:val="00343210"/>
    <w:pPr>
      <w:pBdr>
        <w:bottom w:val="single" w:sz="24" w:space="1" w:color="2E96B6"/>
      </w:pBdr>
      <w:spacing w:before="0" w:after="0"/>
    </w:pPr>
    <w:rPr>
      <w:rFonts w:ascii="Times New Roman" w:eastAsiaTheme="majorEastAsia" w:hAnsi="Times New Roman" w:cstheme="majorBidi"/>
      <w:caps/>
      <w:color w:val="2E96B6"/>
      <w:spacing w:val="10"/>
      <w:sz w:val="52"/>
      <w:szCs w:val="52"/>
    </w:rPr>
  </w:style>
  <w:style w:type="character" w:customStyle="1" w:styleId="TitleChar">
    <w:name w:val="Title Char"/>
    <w:basedOn w:val="DefaultParagraphFont"/>
    <w:link w:val="Title"/>
    <w:uiPriority w:val="10"/>
    <w:rsid w:val="00343210"/>
    <w:rPr>
      <w:rFonts w:ascii="Times New Roman" w:eastAsiaTheme="majorEastAsia" w:hAnsi="Times New Roman" w:cstheme="majorBidi"/>
      <w:caps/>
      <w:color w:val="2E96B6"/>
      <w:spacing w:val="10"/>
      <w:sz w:val="52"/>
      <w:szCs w:val="52"/>
    </w:rPr>
  </w:style>
  <w:style w:type="paragraph" w:styleId="Subtitle">
    <w:name w:val="Subtitle"/>
    <w:basedOn w:val="Normal"/>
    <w:next w:val="Normal"/>
    <w:link w:val="SubtitleChar"/>
    <w:uiPriority w:val="11"/>
    <w:qFormat/>
    <w:rsid w:val="006D306C"/>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6D306C"/>
    <w:rPr>
      <w:caps/>
      <w:color w:val="595959" w:themeColor="text1" w:themeTint="A6"/>
      <w:spacing w:val="10"/>
      <w:sz w:val="21"/>
      <w:szCs w:val="21"/>
    </w:rPr>
  </w:style>
  <w:style w:type="character" w:styleId="Strong">
    <w:name w:val="Strong"/>
    <w:uiPriority w:val="22"/>
    <w:qFormat/>
    <w:rsid w:val="006D306C"/>
    <w:rPr>
      <w:b/>
      <w:bCs/>
    </w:rPr>
  </w:style>
  <w:style w:type="character" w:styleId="Emphasis">
    <w:name w:val="Emphasis"/>
    <w:uiPriority w:val="20"/>
    <w:qFormat/>
    <w:rsid w:val="006D306C"/>
    <w:rPr>
      <w:caps/>
      <w:color w:val="1F3763" w:themeColor="accent1" w:themeShade="7F"/>
      <w:spacing w:val="5"/>
    </w:rPr>
  </w:style>
  <w:style w:type="paragraph" w:styleId="NoSpacing">
    <w:name w:val="No Spacing"/>
    <w:uiPriority w:val="1"/>
    <w:qFormat/>
    <w:rsid w:val="006D306C"/>
    <w:pPr>
      <w:spacing w:after="0" w:line="240" w:lineRule="auto"/>
    </w:pPr>
  </w:style>
  <w:style w:type="paragraph" w:styleId="Quote">
    <w:name w:val="Quote"/>
    <w:basedOn w:val="Normal"/>
    <w:next w:val="Normal"/>
    <w:link w:val="QuoteChar"/>
    <w:uiPriority w:val="29"/>
    <w:qFormat/>
    <w:rsid w:val="006D306C"/>
    <w:rPr>
      <w:i/>
      <w:iCs/>
      <w:sz w:val="24"/>
      <w:szCs w:val="24"/>
    </w:rPr>
  </w:style>
  <w:style w:type="character" w:customStyle="1" w:styleId="QuoteChar">
    <w:name w:val="Quote Char"/>
    <w:basedOn w:val="DefaultParagraphFont"/>
    <w:link w:val="Quote"/>
    <w:uiPriority w:val="29"/>
    <w:rsid w:val="006D306C"/>
    <w:rPr>
      <w:i/>
      <w:iCs/>
      <w:sz w:val="24"/>
      <w:szCs w:val="24"/>
    </w:rPr>
  </w:style>
  <w:style w:type="paragraph" w:styleId="IntenseQuote">
    <w:name w:val="Intense Quote"/>
    <w:basedOn w:val="Normal"/>
    <w:next w:val="Normal"/>
    <w:link w:val="IntenseQuoteChar"/>
    <w:uiPriority w:val="30"/>
    <w:qFormat/>
    <w:rsid w:val="006D306C"/>
    <w:pPr>
      <w:spacing w:before="240" w:after="240" w:line="240" w:lineRule="auto"/>
      <w:ind w:left="1080" w:right="1080"/>
      <w:jc w:val="center"/>
    </w:pPr>
    <w:rPr>
      <w:color w:val="4472C4" w:themeColor="accent1"/>
      <w:sz w:val="24"/>
      <w:szCs w:val="24"/>
    </w:rPr>
  </w:style>
  <w:style w:type="character" w:customStyle="1" w:styleId="IntenseQuoteChar">
    <w:name w:val="Intense Quote Char"/>
    <w:basedOn w:val="DefaultParagraphFont"/>
    <w:link w:val="IntenseQuote"/>
    <w:uiPriority w:val="30"/>
    <w:rsid w:val="006D306C"/>
    <w:rPr>
      <w:color w:val="4472C4" w:themeColor="accent1"/>
      <w:sz w:val="24"/>
      <w:szCs w:val="24"/>
    </w:rPr>
  </w:style>
  <w:style w:type="character" w:styleId="SubtleEmphasis">
    <w:name w:val="Subtle Emphasis"/>
    <w:uiPriority w:val="19"/>
    <w:qFormat/>
    <w:rsid w:val="006D306C"/>
    <w:rPr>
      <w:i/>
      <w:iCs/>
      <w:color w:val="1F3763" w:themeColor="accent1" w:themeShade="7F"/>
    </w:rPr>
  </w:style>
  <w:style w:type="character" w:styleId="IntenseEmphasis">
    <w:name w:val="Intense Emphasis"/>
    <w:uiPriority w:val="21"/>
    <w:qFormat/>
    <w:rsid w:val="006D306C"/>
    <w:rPr>
      <w:b/>
      <w:bCs/>
      <w:caps/>
      <w:color w:val="1F3763" w:themeColor="accent1" w:themeShade="7F"/>
      <w:spacing w:val="10"/>
    </w:rPr>
  </w:style>
  <w:style w:type="character" w:styleId="SubtleReference">
    <w:name w:val="Subtle Reference"/>
    <w:uiPriority w:val="31"/>
    <w:qFormat/>
    <w:rsid w:val="006D306C"/>
    <w:rPr>
      <w:b/>
      <w:bCs/>
      <w:color w:val="4472C4" w:themeColor="accent1"/>
    </w:rPr>
  </w:style>
  <w:style w:type="character" w:styleId="IntenseReference">
    <w:name w:val="Intense Reference"/>
    <w:uiPriority w:val="32"/>
    <w:qFormat/>
    <w:rsid w:val="006D306C"/>
    <w:rPr>
      <w:b/>
      <w:bCs/>
      <w:i/>
      <w:iCs/>
      <w:caps/>
      <w:color w:val="4472C4" w:themeColor="accent1"/>
    </w:rPr>
  </w:style>
  <w:style w:type="character" w:styleId="BookTitle">
    <w:name w:val="Book Title"/>
    <w:uiPriority w:val="33"/>
    <w:qFormat/>
    <w:rsid w:val="006D306C"/>
    <w:rPr>
      <w:b/>
      <w:bCs/>
      <w:i/>
      <w:iCs/>
      <w:spacing w:val="0"/>
    </w:rPr>
  </w:style>
  <w:style w:type="paragraph" w:styleId="TOCHeading">
    <w:name w:val="TOC Heading"/>
    <w:basedOn w:val="Heading1"/>
    <w:next w:val="Normal"/>
    <w:uiPriority w:val="39"/>
    <w:unhideWhenUsed/>
    <w:qFormat/>
    <w:rsid w:val="006D306C"/>
    <w:pPr>
      <w:outlineLvl w:val="9"/>
    </w:pPr>
  </w:style>
  <w:style w:type="paragraph" w:styleId="ListParagraph">
    <w:name w:val="List Paragraph"/>
    <w:basedOn w:val="Normal"/>
    <w:uiPriority w:val="1"/>
    <w:qFormat/>
    <w:rsid w:val="00B759FC"/>
    <w:pPr>
      <w:ind w:left="720"/>
      <w:contextualSpacing/>
    </w:pPr>
  </w:style>
  <w:style w:type="paragraph" w:styleId="BodyText">
    <w:name w:val="Body Text"/>
    <w:basedOn w:val="Normal"/>
    <w:link w:val="BodyTextChar"/>
    <w:uiPriority w:val="1"/>
    <w:qFormat/>
    <w:rsid w:val="0065799E"/>
    <w:pPr>
      <w:widowControl w:val="0"/>
      <w:autoSpaceDE w:val="0"/>
      <w:autoSpaceDN w:val="0"/>
      <w:spacing w:before="0" w:after="0" w:line="240" w:lineRule="auto"/>
      <w:ind w:left="940"/>
    </w:pPr>
    <w:rPr>
      <w:rFonts w:ascii="Calibri" w:eastAsia="Calibri" w:hAnsi="Calibri" w:cs="Calibri"/>
      <w:sz w:val="22"/>
      <w:szCs w:val="22"/>
    </w:rPr>
  </w:style>
  <w:style w:type="character" w:customStyle="1" w:styleId="BodyTextChar">
    <w:name w:val="Body Text Char"/>
    <w:basedOn w:val="DefaultParagraphFont"/>
    <w:link w:val="BodyText"/>
    <w:uiPriority w:val="1"/>
    <w:rsid w:val="0065799E"/>
    <w:rPr>
      <w:rFonts w:ascii="Calibri" w:eastAsia="Calibri" w:hAnsi="Calibri" w:cs="Calibri"/>
      <w:sz w:val="22"/>
      <w:szCs w:val="22"/>
    </w:rPr>
  </w:style>
  <w:style w:type="paragraph" w:customStyle="1" w:styleId="TableParagraph">
    <w:name w:val="Table Paragraph"/>
    <w:basedOn w:val="Normal"/>
    <w:uiPriority w:val="1"/>
    <w:qFormat/>
    <w:rsid w:val="00223BFE"/>
    <w:pPr>
      <w:widowControl w:val="0"/>
      <w:autoSpaceDE w:val="0"/>
      <w:autoSpaceDN w:val="0"/>
      <w:spacing w:before="0" w:after="0" w:line="240" w:lineRule="auto"/>
    </w:pPr>
    <w:rPr>
      <w:rFonts w:ascii="Calibri" w:eastAsia="Calibri" w:hAnsi="Calibri" w:cs="Calibri"/>
      <w:sz w:val="22"/>
      <w:szCs w:val="22"/>
    </w:rPr>
  </w:style>
  <w:style w:type="table" w:styleId="GridTable1Light-Accent1">
    <w:name w:val="Grid Table 1 Light Accent 1"/>
    <w:basedOn w:val="TableNormal"/>
    <w:uiPriority w:val="46"/>
    <w:rsid w:val="00FC0F4C"/>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PlainTable5">
    <w:name w:val="Plain Table 5"/>
    <w:basedOn w:val="TableNormal"/>
    <w:uiPriority w:val="45"/>
    <w:rsid w:val="00FC0F4C"/>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3">
    <w:name w:val="Plain Table 3"/>
    <w:basedOn w:val="TableNormal"/>
    <w:uiPriority w:val="43"/>
    <w:rsid w:val="00FC0F4C"/>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Hyperlink">
    <w:name w:val="Hyperlink"/>
    <w:basedOn w:val="DefaultParagraphFont"/>
    <w:uiPriority w:val="99"/>
    <w:unhideWhenUsed/>
    <w:rsid w:val="00643644"/>
    <w:rPr>
      <w:color w:val="0563C1" w:themeColor="hyperlink"/>
      <w:u w:val="single"/>
    </w:rPr>
  </w:style>
  <w:style w:type="character" w:styleId="UnresolvedMention">
    <w:name w:val="Unresolved Mention"/>
    <w:basedOn w:val="DefaultParagraphFont"/>
    <w:uiPriority w:val="99"/>
    <w:semiHidden/>
    <w:unhideWhenUsed/>
    <w:rsid w:val="00643644"/>
    <w:rPr>
      <w:color w:val="605E5C"/>
      <w:shd w:val="clear" w:color="auto" w:fill="E1DFDD"/>
    </w:rPr>
  </w:style>
  <w:style w:type="paragraph" w:styleId="TOC1">
    <w:name w:val="toc 1"/>
    <w:basedOn w:val="Normal"/>
    <w:next w:val="Normal"/>
    <w:autoRedefine/>
    <w:uiPriority w:val="39"/>
    <w:unhideWhenUsed/>
    <w:rsid w:val="00FE1C38"/>
    <w:pPr>
      <w:tabs>
        <w:tab w:val="right" w:leader="dot" w:pos="9350"/>
      </w:tabs>
      <w:spacing w:after="100"/>
    </w:pPr>
  </w:style>
  <w:style w:type="paragraph" w:styleId="TOC2">
    <w:name w:val="toc 2"/>
    <w:basedOn w:val="Normal"/>
    <w:next w:val="Normal"/>
    <w:autoRedefine/>
    <w:uiPriority w:val="39"/>
    <w:unhideWhenUsed/>
    <w:rsid w:val="00FE1C38"/>
    <w:pPr>
      <w:tabs>
        <w:tab w:val="right" w:leader="dot" w:pos="9350"/>
      </w:tabs>
      <w:spacing w:after="100"/>
      <w:ind w:left="200"/>
    </w:pPr>
  </w:style>
  <w:style w:type="paragraph" w:styleId="TOC3">
    <w:name w:val="toc 3"/>
    <w:basedOn w:val="Normal"/>
    <w:next w:val="Normal"/>
    <w:autoRedefine/>
    <w:uiPriority w:val="39"/>
    <w:unhideWhenUsed/>
    <w:rsid w:val="00643644"/>
    <w:pPr>
      <w:spacing w:after="100"/>
      <w:ind w:left="400"/>
    </w:pPr>
  </w:style>
  <w:style w:type="paragraph" w:styleId="Header">
    <w:name w:val="header"/>
    <w:basedOn w:val="Normal"/>
    <w:link w:val="HeaderChar"/>
    <w:uiPriority w:val="99"/>
    <w:unhideWhenUsed/>
    <w:rsid w:val="00D92D73"/>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92D73"/>
  </w:style>
  <w:style w:type="paragraph" w:styleId="Footer">
    <w:name w:val="footer"/>
    <w:basedOn w:val="Normal"/>
    <w:link w:val="FooterChar"/>
    <w:uiPriority w:val="99"/>
    <w:unhideWhenUsed/>
    <w:rsid w:val="00D92D73"/>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D92D73"/>
  </w:style>
  <w:style w:type="paragraph" w:customStyle="1" w:styleId="Default">
    <w:name w:val="Default"/>
    <w:rsid w:val="007E6EE0"/>
    <w:pPr>
      <w:autoSpaceDE w:val="0"/>
      <w:autoSpaceDN w:val="0"/>
      <w:adjustRightInd w:val="0"/>
      <w:spacing w:before="1" w:after="0" w:line="240" w:lineRule="auto"/>
      <w:ind w:left="115" w:right="43" w:firstLine="720"/>
    </w:pPr>
    <w:rPr>
      <w:rFonts w:ascii="Calibri" w:eastAsia="Times New Roman" w:hAnsi="Calibri" w:cs="Calibri"/>
      <w:color w:val="000000"/>
      <w:sz w:val="24"/>
      <w:szCs w:val="24"/>
    </w:rPr>
  </w:style>
  <w:style w:type="paragraph" w:styleId="Revision">
    <w:name w:val="Revision"/>
    <w:hidden/>
    <w:uiPriority w:val="99"/>
    <w:semiHidden/>
    <w:rsid w:val="00D42430"/>
    <w:pPr>
      <w:spacing w:before="0"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tgarcia@housingnm.org"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arminB.morin@dfa.nm.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AC0A785058AFA47A9C0DED6DB8710AC" ma:contentTypeVersion="4" ma:contentTypeDescription="Create a new document." ma:contentTypeScope="" ma:versionID="c2755312d98da2fcf428413df0f0433e">
  <xsd:schema xmlns:xsd="http://www.w3.org/2001/XMLSchema" xmlns:xs="http://www.w3.org/2001/XMLSchema" xmlns:p="http://schemas.microsoft.com/office/2006/metadata/properties" xmlns:ns3="80f4d2ee-5a05-4258-b4d2-0b612362a0a8" targetNamespace="http://schemas.microsoft.com/office/2006/metadata/properties" ma:root="true" ma:fieldsID="1b34c5960ac640d6c4b5fcea87545a43" ns3:_="">
    <xsd:import namespace="80f4d2ee-5a05-4258-b4d2-0b612362a0a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f4d2ee-5a05-4258-b4d2-0b612362a0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E06621-8626-43ED-B25E-96A3F49F8789}">
  <ds:schemaRefs>
    <ds:schemaRef ds:uri="http://www.w3.org/XML/1998/namespace"/>
    <ds:schemaRef ds:uri="http://schemas.microsoft.com/office/infopath/2007/PartnerControls"/>
    <ds:schemaRef ds:uri="http://purl.org/dc/elements/1.1/"/>
    <ds:schemaRef ds:uri="http://schemas.openxmlformats.org/package/2006/metadata/core-properties"/>
    <ds:schemaRef ds:uri="http://purl.org/dc/terms/"/>
    <ds:schemaRef ds:uri="http://purl.org/dc/dcmitype/"/>
    <ds:schemaRef ds:uri="http://schemas.microsoft.com/office/2006/documentManagement/types"/>
    <ds:schemaRef ds:uri="80f4d2ee-5a05-4258-b4d2-0b612362a0a8"/>
    <ds:schemaRef ds:uri="http://schemas.microsoft.com/office/2006/metadata/properties"/>
  </ds:schemaRefs>
</ds:datastoreItem>
</file>

<file path=customXml/itemProps2.xml><?xml version="1.0" encoding="utf-8"?>
<ds:datastoreItem xmlns:ds="http://schemas.openxmlformats.org/officeDocument/2006/customXml" ds:itemID="{63A39C45-E05D-458C-BCA7-22F885C6C24B}">
  <ds:schemaRefs>
    <ds:schemaRef ds:uri="http://schemas.microsoft.com/sharepoint/v3/contenttype/forms"/>
  </ds:schemaRefs>
</ds:datastoreItem>
</file>

<file path=customXml/itemProps3.xml><?xml version="1.0" encoding="utf-8"?>
<ds:datastoreItem xmlns:ds="http://schemas.openxmlformats.org/officeDocument/2006/customXml" ds:itemID="{F9747D35-E415-4EC1-89DA-93CD466B20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f4d2ee-5a05-4258-b4d2-0b612362a0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AD66EE-FD96-417E-A3C1-BF3F4B238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5404</Words>
  <Characters>30803</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Meyer</dc:creator>
  <cp:keywords/>
  <dc:description/>
  <cp:lastModifiedBy>Theresa Laredo-Garcia</cp:lastModifiedBy>
  <cp:revision>2</cp:revision>
  <cp:lastPrinted>2022-12-28T23:52:00Z</cp:lastPrinted>
  <dcterms:created xsi:type="dcterms:W3CDTF">2023-01-04T16:16:00Z</dcterms:created>
  <dcterms:modified xsi:type="dcterms:W3CDTF">2023-01-04T16:16:00Z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0x010100EAC0A785058AFA47A9C0DED6DB8710AC</vt:lpwstr>
  </property>
</Properties>
</file>