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948"/>
        <w:gridCol w:w="1080"/>
        <w:gridCol w:w="1080"/>
        <w:gridCol w:w="1080"/>
      </w:tblGrid>
      <w:tr w:rsidR="00176BB4" w:rsidRPr="00176BB4" w14:paraId="39F5C293" w14:textId="53683B1D" w:rsidTr="00176BB4">
        <w:tblPrEx>
          <w:tblCellMar>
            <w:top w:w="0" w:type="dxa"/>
            <w:bottom w:w="0" w:type="dxa"/>
          </w:tblCellMar>
        </w:tblPrEx>
        <w:trPr>
          <w:trHeight w:val="400"/>
        </w:trPr>
        <w:tc>
          <w:tcPr>
            <w:tcW w:w="6948" w:type="dxa"/>
            <w:tcBorders>
              <w:top w:val="none" w:sz="6" w:space="0" w:color="auto"/>
              <w:bottom w:val="none" w:sz="6" w:space="0" w:color="auto"/>
              <w:right w:val="none" w:sz="6" w:space="0" w:color="auto"/>
            </w:tcBorders>
          </w:tcPr>
          <w:p w14:paraId="1219AD4A" w14:textId="264341DB" w:rsidR="00176BB4" w:rsidRPr="00176BB4" w:rsidRDefault="00176BB4">
            <w:pPr>
              <w:pStyle w:val="Default"/>
              <w:rPr>
                <w:rFonts w:asciiTheme="minorHAnsi" w:hAnsiTheme="minorHAnsi" w:cstheme="minorHAnsi"/>
                <w:sz w:val="22"/>
                <w:szCs w:val="22"/>
              </w:rPr>
            </w:pPr>
            <w:r w:rsidRPr="00176BB4">
              <w:rPr>
                <w:rFonts w:asciiTheme="minorHAnsi" w:hAnsiTheme="minorHAnsi" w:cstheme="minorHAnsi"/>
                <w:b/>
                <w:bCs/>
                <w:sz w:val="22"/>
                <w:szCs w:val="22"/>
              </w:rPr>
              <w:t>Ranking</w:t>
            </w:r>
            <w:r w:rsidRPr="00176BB4">
              <w:rPr>
                <w:rFonts w:asciiTheme="minorHAnsi" w:hAnsiTheme="minorHAnsi" w:cstheme="minorHAnsi"/>
                <w:b/>
                <w:bCs/>
                <w:sz w:val="22"/>
                <w:szCs w:val="22"/>
              </w:rPr>
              <w:t xml:space="preserve"> Criteria </w:t>
            </w:r>
          </w:p>
        </w:tc>
        <w:tc>
          <w:tcPr>
            <w:tcW w:w="1080" w:type="dxa"/>
            <w:tcBorders>
              <w:top w:val="none" w:sz="6" w:space="0" w:color="auto"/>
              <w:left w:val="none" w:sz="6" w:space="0" w:color="auto"/>
              <w:bottom w:val="none" w:sz="6" w:space="0" w:color="auto"/>
            </w:tcBorders>
          </w:tcPr>
          <w:p w14:paraId="7E19AC59" w14:textId="0CC2594F" w:rsidR="00176BB4" w:rsidRPr="00176BB4" w:rsidRDefault="00176BB4" w:rsidP="00176BB4">
            <w:pPr>
              <w:pStyle w:val="Default"/>
              <w:ind w:right="-108"/>
              <w:jc w:val="center"/>
              <w:rPr>
                <w:rFonts w:asciiTheme="minorHAnsi" w:hAnsiTheme="minorHAnsi" w:cstheme="minorHAnsi"/>
                <w:sz w:val="22"/>
                <w:szCs w:val="22"/>
              </w:rPr>
            </w:pPr>
            <w:r w:rsidRPr="00176BB4">
              <w:rPr>
                <w:rFonts w:asciiTheme="minorHAnsi" w:hAnsiTheme="minorHAnsi" w:cstheme="minorHAnsi"/>
                <w:b/>
                <w:bCs/>
                <w:sz w:val="22"/>
                <w:szCs w:val="22"/>
              </w:rPr>
              <w:t>Points Possible</w:t>
            </w:r>
          </w:p>
        </w:tc>
        <w:tc>
          <w:tcPr>
            <w:tcW w:w="1080" w:type="dxa"/>
            <w:tcBorders>
              <w:top w:val="none" w:sz="6" w:space="0" w:color="auto"/>
              <w:left w:val="none" w:sz="6" w:space="0" w:color="auto"/>
              <w:bottom w:val="none" w:sz="6" w:space="0" w:color="auto"/>
            </w:tcBorders>
          </w:tcPr>
          <w:p w14:paraId="7FD51D8A" w14:textId="27E81034" w:rsidR="00176BB4" w:rsidRPr="00176BB4" w:rsidRDefault="00176BB4" w:rsidP="00176BB4">
            <w:pPr>
              <w:pStyle w:val="Default"/>
              <w:ind w:right="-108"/>
              <w:jc w:val="center"/>
              <w:rPr>
                <w:rFonts w:asciiTheme="minorHAnsi" w:hAnsiTheme="minorHAnsi" w:cstheme="minorHAnsi"/>
                <w:b/>
                <w:bCs/>
                <w:sz w:val="22"/>
                <w:szCs w:val="22"/>
              </w:rPr>
            </w:pPr>
            <w:r w:rsidRPr="00176BB4">
              <w:rPr>
                <w:rFonts w:asciiTheme="minorHAnsi" w:hAnsiTheme="minorHAnsi" w:cstheme="minorHAnsi"/>
                <w:b/>
                <w:bCs/>
                <w:sz w:val="22"/>
                <w:szCs w:val="22"/>
              </w:rPr>
              <w:t>Self-Score</w:t>
            </w:r>
          </w:p>
        </w:tc>
        <w:tc>
          <w:tcPr>
            <w:tcW w:w="1080" w:type="dxa"/>
            <w:tcBorders>
              <w:top w:val="none" w:sz="6" w:space="0" w:color="auto"/>
              <w:left w:val="none" w:sz="6" w:space="0" w:color="auto"/>
              <w:bottom w:val="none" w:sz="6" w:space="0" w:color="auto"/>
            </w:tcBorders>
          </w:tcPr>
          <w:p w14:paraId="60B0AB90" w14:textId="50C4EA40" w:rsidR="00176BB4" w:rsidRPr="00176BB4" w:rsidRDefault="00176BB4" w:rsidP="00176BB4">
            <w:pPr>
              <w:pStyle w:val="Default"/>
              <w:ind w:right="-108"/>
              <w:jc w:val="center"/>
              <w:rPr>
                <w:rFonts w:asciiTheme="minorHAnsi" w:hAnsiTheme="minorHAnsi" w:cstheme="minorHAnsi"/>
                <w:b/>
                <w:bCs/>
                <w:sz w:val="22"/>
                <w:szCs w:val="22"/>
              </w:rPr>
            </w:pPr>
            <w:r w:rsidRPr="00176BB4">
              <w:rPr>
                <w:rFonts w:asciiTheme="minorHAnsi" w:hAnsiTheme="minorHAnsi" w:cstheme="minorHAnsi"/>
                <w:b/>
                <w:bCs/>
                <w:sz w:val="22"/>
                <w:szCs w:val="22"/>
              </w:rPr>
              <w:t>MFA Score</w:t>
            </w:r>
          </w:p>
        </w:tc>
      </w:tr>
      <w:tr w:rsidR="00176BB4" w:rsidRPr="00176BB4" w14:paraId="44C8A596" w14:textId="74B29FF5" w:rsidTr="00176BB4">
        <w:tblPrEx>
          <w:tblCellMar>
            <w:top w:w="0" w:type="dxa"/>
            <w:bottom w:w="0" w:type="dxa"/>
          </w:tblCellMar>
        </w:tblPrEx>
        <w:trPr>
          <w:trHeight w:val="3588"/>
        </w:trPr>
        <w:tc>
          <w:tcPr>
            <w:tcW w:w="6948" w:type="dxa"/>
            <w:tcBorders>
              <w:top w:val="none" w:sz="6" w:space="0" w:color="auto"/>
              <w:bottom w:val="none" w:sz="6" w:space="0" w:color="auto"/>
              <w:right w:val="none" w:sz="6" w:space="0" w:color="auto"/>
            </w:tcBorders>
          </w:tcPr>
          <w:p w14:paraId="54ECA478" w14:textId="77777777" w:rsidR="00176BB4" w:rsidRPr="00176BB4" w:rsidRDefault="00176BB4">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1. Community Need </w:t>
            </w:r>
          </w:p>
          <w:p w14:paraId="156E78DF" w14:textId="77777777" w:rsidR="00176BB4" w:rsidRPr="00176BB4" w:rsidRDefault="00176BB4">
            <w:pPr>
              <w:pStyle w:val="Default"/>
              <w:rPr>
                <w:rFonts w:asciiTheme="minorHAnsi" w:hAnsiTheme="minorHAnsi" w:cstheme="minorHAnsi"/>
                <w:sz w:val="22"/>
                <w:szCs w:val="22"/>
              </w:rPr>
            </w:pPr>
          </w:p>
          <w:p w14:paraId="4A1FBE5B" w14:textId="77777777" w:rsidR="00176BB4" w:rsidRPr="00176BB4" w:rsidRDefault="00176BB4">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MFA will evaluate the extent to which the applicant's proposed projects is dedicated to resolving one or more of the following identified housing concerns: </w:t>
            </w:r>
          </w:p>
          <w:p w14:paraId="3ED67D81" w14:textId="2B91AED4" w:rsidR="00176BB4" w:rsidRPr="00176BB4" w:rsidRDefault="00176BB4" w:rsidP="00176BB4">
            <w:pPr>
              <w:pStyle w:val="Default"/>
              <w:numPr>
                <w:ilvl w:val="0"/>
                <w:numId w:val="2"/>
              </w:numPr>
              <w:rPr>
                <w:rFonts w:asciiTheme="minorHAnsi" w:hAnsiTheme="minorHAnsi" w:cstheme="minorHAnsi"/>
                <w:sz w:val="22"/>
                <w:szCs w:val="22"/>
              </w:rPr>
            </w:pPr>
            <w:r w:rsidRPr="00176BB4">
              <w:rPr>
                <w:rFonts w:asciiTheme="minorHAnsi" w:hAnsiTheme="minorHAnsi" w:cstheme="minorHAnsi"/>
                <w:sz w:val="22"/>
                <w:szCs w:val="22"/>
              </w:rPr>
              <w:t xml:space="preserve">Community identified to have prospective homebuyers (5) </w:t>
            </w:r>
          </w:p>
          <w:p w14:paraId="45998C8A" w14:textId="26C23ED6" w:rsidR="00176BB4" w:rsidRPr="00176BB4" w:rsidRDefault="00176BB4" w:rsidP="00176BB4">
            <w:pPr>
              <w:pStyle w:val="Default"/>
              <w:numPr>
                <w:ilvl w:val="0"/>
                <w:numId w:val="2"/>
              </w:numPr>
              <w:rPr>
                <w:rFonts w:asciiTheme="minorHAnsi" w:hAnsiTheme="minorHAnsi" w:cstheme="minorHAnsi"/>
                <w:sz w:val="22"/>
                <w:szCs w:val="22"/>
              </w:rPr>
            </w:pPr>
            <w:r w:rsidRPr="00176BB4">
              <w:rPr>
                <w:rFonts w:asciiTheme="minorHAnsi" w:hAnsiTheme="minorHAnsi" w:cstheme="minorHAnsi"/>
                <w:sz w:val="22"/>
                <w:szCs w:val="22"/>
              </w:rPr>
              <w:t xml:space="preserve">Community identified to have an aging housing stock (4) </w:t>
            </w:r>
          </w:p>
          <w:p w14:paraId="2EB15955" w14:textId="46326A1A" w:rsidR="00176BB4" w:rsidRPr="00176BB4" w:rsidRDefault="00176BB4" w:rsidP="00176BB4">
            <w:pPr>
              <w:pStyle w:val="Default"/>
              <w:numPr>
                <w:ilvl w:val="0"/>
                <w:numId w:val="2"/>
              </w:numPr>
              <w:rPr>
                <w:rFonts w:asciiTheme="minorHAnsi" w:hAnsiTheme="minorHAnsi" w:cstheme="minorHAnsi"/>
                <w:sz w:val="22"/>
                <w:szCs w:val="22"/>
              </w:rPr>
            </w:pPr>
            <w:r w:rsidRPr="00176BB4">
              <w:rPr>
                <w:rFonts w:asciiTheme="minorHAnsi" w:hAnsiTheme="minorHAnsi" w:cstheme="minorHAnsi"/>
                <w:sz w:val="22"/>
                <w:szCs w:val="22"/>
              </w:rPr>
              <w:t xml:space="preserve">Community identified to have overcrowded homes (2) </w:t>
            </w:r>
          </w:p>
          <w:p w14:paraId="3376FE59" w14:textId="77777777" w:rsidR="00176BB4" w:rsidRPr="00176BB4" w:rsidRDefault="00176BB4" w:rsidP="00176BB4">
            <w:pPr>
              <w:pStyle w:val="Default"/>
              <w:numPr>
                <w:ilvl w:val="0"/>
                <w:numId w:val="2"/>
              </w:numPr>
              <w:rPr>
                <w:rFonts w:asciiTheme="minorHAnsi" w:hAnsiTheme="minorHAnsi" w:cstheme="minorHAnsi"/>
                <w:sz w:val="22"/>
                <w:szCs w:val="22"/>
              </w:rPr>
            </w:pPr>
            <w:r w:rsidRPr="00176BB4">
              <w:rPr>
                <w:rFonts w:asciiTheme="minorHAnsi" w:hAnsiTheme="minorHAnsi" w:cstheme="minorHAnsi"/>
                <w:sz w:val="22"/>
                <w:szCs w:val="22"/>
              </w:rPr>
              <w:t xml:space="preserve">The proposed project will fulfill a housing need as stated within an approved Master Plan, Ordinance, Housing Plan, or Community Sector Plan (2) </w:t>
            </w:r>
          </w:p>
          <w:p w14:paraId="38798F1E" w14:textId="710317BE" w:rsidR="00176BB4" w:rsidRPr="00176BB4" w:rsidRDefault="00176BB4" w:rsidP="00176BB4">
            <w:pPr>
              <w:pStyle w:val="Default"/>
              <w:numPr>
                <w:ilvl w:val="0"/>
                <w:numId w:val="2"/>
              </w:numPr>
              <w:rPr>
                <w:rFonts w:asciiTheme="minorHAnsi" w:hAnsiTheme="minorHAnsi" w:cstheme="minorHAnsi"/>
                <w:sz w:val="22"/>
                <w:szCs w:val="22"/>
              </w:rPr>
            </w:pPr>
            <w:r w:rsidRPr="00176BB4">
              <w:rPr>
                <w:rFonts w:asciiTheme="minorHAnsi" w:hAnsiTheme="minorHAnsi" w:cstheme="minorHAnsi"/>
                <w:sz w:val="22"/>
                <w:szCs w:val="22"/>
              </w:rPr>
              <w:t xml:space="preserve">The proposed project will incorporate sustainable design features for the homes or engage in sustainable building practices (2) </w:t>
            </w:r>
          </w:p>
          <w:p w14:paraId="3EA323E7" w14:textId="77777777" w:rsidR="00176BB4" w:rsidRPr="00176BB4" w:rsidRDefault="00176BB4">
            <w:pPr>
              <w:pStyle w:val="Default"/>
              <w:rPr>
                <w:rFonts w:asciiTheme="minorHAnsi" w:hAnsiTheme="minorHAnsi" w:cstheme="minorHAnsi"/>
                <w:sz w:val="22"/>
                <w:szCs w:val="22"/>
              </w:rPr>
            </w:pPr>
          </w:p>
        </w:tc>
        <w:tc>
          <w:tcPr>
            <w:tcW w:w="1080" w:type="dxa"/>
            <w:tcBorders>
              <w:top w:val="none" w:sz="6" w:space="0" w:color="auto"/>
              <w:left w:val="none" w:sz="6" w:space="0" w:color="auto"/>
              <w:bottom w:val="none" w:sz="6" w:space="0" w:color="auto"/>
            </w:tcBorders>
          </w:tcPr>
          <w:p w14:paraId="13A53AAC" w14:textId="3B38A6EF" w:rsidR="00176BB4" w:rsidRPr="00176BB4" w:rsidRDefault="00176BB4" w:rsidP="00176BB4">
            <w:pPr>
              <w:pStyle w:val="Default"/>
              <w:jc w:val="center"/>
              <w:rPr>
                <w:rFonts w:asciiTheme="minorHAnsi" w:hAnsiTheme="minorHAnsi" w:cstheme="minorHAnsi"/>
                <w:sz w:val="22"/>
                <w:szCs w:val="22"/>
              </w:rPr>
            </w:pPr>
            <w:r w:rsidRPr="00176BB4">
              <w:rPr>
                <w:rFonts w:asciiTheme="minorHAnsi" w:hAnsiTheme="minorHAnsi" w:cstheme="minorHAnsi"/>
                <w:sz w:val="22"/>
                <w:szCs w:val="22"/>
              </w:rPr>
              <w:t>15</w:t>
            </w:r>
          </w:p>
        </w:tc>
        <w:tc>
          <w:tcPr>
            <w:tcW w:w="1080" w:type="dxa"/>
            <w:tcBorders>
              <w:top w:val="none" w:sz="6" w:space="0" w:color="auto"/>
              <w:left w:val="none" w:sz="6" w:space="0" w:color="auto"/>
              <w:bottom w:val="none" w:sz="6" w:space="0" w:color="auto"/>
            </w:tcBorders>
          </w:tcPr>
          <w:p w14:paraId="4FACDB8E" w14:textId="77777777" w:rsidR="00176BB4" w:rsidRPr="00176BB4" w:rsidRDefault="00176BB4" w:rsidP="00176BB4">
            <w:pPr>
              <w:pStyle w:val="Default"/>
              <w:jc w:val="center"/>
              <w:rPr>
                <w:rFonts w:asciiTheme="minorHAnsi" w:hAnsiTheme="minorHAnsi" w:cstheme="minorHAnsi"/>
                <w:sz w:val="22"/>
                <w:szCs w:val="22"/>
              </w:rPr>
            </w:pPr>
          </w:p>
        </w:tc>
        <w:tc>
          <w:tcPr>
            <w:tcW w:w="1080" w:type="dxa"/>
            <w:tcBorders>
              <w:top w:val="none" w:sz="6" w:space="0" w:color="auto"/>
              <w:left w:val="none" w:sz="6" w:space="0" w:color="auto"/>
              <w:bottom w:val="none" w:sz="6" w:space="0" w:color="auto"/>
            </w:tcBorders>
          </w:tcPr>
          <w:p w14:paraId="03AF6262" w14:textId="4977BF98" w:rsidR="00176BB4" w:rsidRPr="00176BB4" w:rsidRDefault="00176BB4" w:rsidP="00176BB4">
            <w:pPr>
              <w:pStyle w:val="Default"/>
              <w:jc w:val="center"/>
              <w:rPr>
                <w:rFonts w:asciiTheme="minorHAnsi" w:hAnsiTheme="minorHAnsi" w:cstheme="minorHAnsi"/>
                <w:sz w:val="22"/>
                <w:szCs w:val="22"/>
              </w:rPr>
            </w:pPr>
          </w:p>
        </w:tc>
      </w:tr>
      <w:tr w:rsidR="00176BB4" w:rsidRPr="00176BB4" w14:paraId="101E36B2" w14:textId="7A5DFE20" w:rsidTr="00176BB4">
        <w:tblPrEx>
          <w:tblCellMar>
            <w:top w:w="0" w:type="dxa"/>
            <w:bottom w:w="0" w:type="dxa"/>
          </w:tblCellMar>
        </w:tblPrEx>
        <w:trPr>
          <w:trHeight w:val="1762"/>
        </w:trPr>
        <w:tc>
          <w:tcPr>
            <w:tcW w:w="6948" w:type="dxa"/>
            <w:tcBorders>
              <w:top w:val="none" w:sz="6" w:space="0" w:color="auto"/>
              <w:bottom w:val="none" w:sz="6" w:space="0" w:color="auto"/>
              <w:right w:val="none" w:sz="6" w:space="0" w:color="auto"/>
            </w:tcBorders>
          </w:tcPr>
          <w:p w14:paraId="33AEEA52" w14:textId="77777777" w:rsidR="00176BB4" w:rsidRPr="00176BB4" w:rsidRDefault="00176BB4" w:rsidP="00176BB4">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2. Readiness to proceed </w:t>
            </w:r>
          </w:p>
          <w:p w14:paraId="58600927" w14:textId="77777777" w:rsidR="00176BB4" w:rsidRPr="00176BB4" w:rsidRDefault="00176BB4" w:rsidP="00176BB4">
            <w:pPr>
              <w:pStyle w:val="Default"/>
              <w:rPr>
                <w:rFonts w:asciiTheme="minorHAnsi" w:hAnsiTheme="minorHAnsi" w:cstheme="minorHAnsi"/>
                <w:sz w:val="22"/>
                <w:szCs w:val="22"/>
              </w:rPr>
            </w:pPr>
          </w:p>
          <w:p w14:paraId="774C144D" w14:textId="77777777" w:rsidR="00176BB4" w:rsidRPr="00176BB4" w:rsidRDefault="00176BB4" w:rsidP="00176BB4">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MFA will evaluate the extent to which the applicant’s proposed project is ready to proceed. MFA intends to prioritize funding for projects that demonstrate “shovel readiness.” The project must meet one or more of the following to determine readiness to proceed: </w:t>
            </w:r>
          </w:p>
          <w:p w14:paraId="3CB3C6D5" w14:textId="1EDC842B" w:rsidR="00176BB4" w:rsidRPr="00176BB4" w:rsidRDefault="00176BB4" w:rsidP="00176BB4">
            <w:pPr>
              <w:pStyle w:val="Default"/>
              <w:numPr>
                <w:ilvl w:val="0"/>
                <w:numId w:val="4"/>
              </w:numPr>
              <w:rPr>
                <w:rFonts w:asciiTheme="minorHAnsi" w:hAnsiTheme="minorHAnsi" w:cstheme="minorHAnsi"/>
                <w:sz w:val="22"/>
                <w:szCs w:val="22"/>
              </w:rPr>
            </w:pPr>
            <w:r w:rsidRPr="00176BB4">
              <w:rPr>
                <w:rFonts w:asciiTheme="minorHAnsi" w:hAnsiTheme="minorHAnsi" w:cstheme="minorHAnsi"/>
                <w:sz w:val="22"/>
                <w:szCs w:val="22"/>
              </w:rPr>
              <w:t xml:space="preserve">Proposed project that will increase the number of homes by connecting to existing infrastructure (5) </w:t>
            </w:r>
          </w:p>
          <w:p w14:paraId="57DFB2C4" w14:textId="245C28BD" w:rsidR="00176BB4" w:rsidRPr="00176BB4" w:rsidRDefault="00176BB4" w:rsidP="00176BB4">
            <w:pPr>
              <w:pStyle w:val="Default"/>
              <w:numPr>
                <w:ilvl w:val="0"/>
                <w:numId w:val="4"/>
              </w:numPr>
              <w:rPr>
                <w:rFonts w:asciiTheme="minorHAnsi" w:hAnsiTheme="minorHAnsi" w:cstheme="minorHAnsi"/>
                <w:sz w:val="22"/>
                <w:szCs w:val="22"/>
              </w:rPr>
            </w:pPr>
            <w:r w:rsidRPr="00176BB4">
              <w:rPr>
                <w:rFonts w:asciiTheme="minorHAnsi" w:hAnsiTheme="minorHAnsi" w:cstheme="minorHAnsi"/>
                <w:sz w:val="22"/>
                <w:szCs w:val="22"/>
              </w:rPr>
              <w:t xml:space="preserve">Completion of a Phase I Environmental Site Assessment (5) </w:t>
            </w:r>
          </w:p>
          <w:p w14:paraId="3BD9FDCB" w14:textId="0139E426" w:rsidR="00176BB4" w:rsidRPr="00176BB4" w:rsidRDefault="00176BB4" w:rsidP="00176BB4">
            <w:pPr>
              <w:pStyle w:val="Default"/>
              <w:numPr>
                <w:ilvl w:val="0"/>
                <w:numId w:val="4"/>
              </w:numPr>
              <w:rPr>
                <w:rFonts w:asciiTheme="minorHAnsi" w:hAnsiTheme="minorHAnsi" w:cstheme="minorHAnsi"/>
                <w:sz w:val="22"/>
                <w:szCs w:val="22"/>
              </w:rPr>
            </w:pPr>
            <w:r w:rsidRPr="00176BB4">
              <w:rPr>
                <w:rFonts w:asciiTheme="minorHAnsi" w:hAnsiTheme="minorHAnsi" w:cstheme="minorHAnsi"/>
                <w:sz w:val="22"/>
                <w:szCs w:val="22"/>
              </w:rPr>
              <w:t xml:space="preserve">All development parties overseeing the project have been identified and plans have been approved (5) </w:t>
            </w:r>
          </w:p>
          <w:p w14:paraId="34EA2080" w14:textId="42453C37" w:rsidR="00176BB4" w:rsidRPr="00176BB4" w:rsidRDefault="00176BB4" w:rsidP="00176BB4">
            <w:pPr>
              <w:pStyle w:val="Default"/>
              <w:numPr>
                <w:ilvl w:val="0"/>
                <w:numId w:val="4"/>
              </w:numPr>
              <w:rPr>
                <w:rFonts w:asciiTheme="minorHAnsi" w:hAnsiTheme="minorHAnsi" w:cstheme="minorHAnsi"/>
                <w:sz w:val="22"/>
                <w:szCs w:val="22"/>
              </w:rPr>
            </w:pPr>
            <w:r w:rsidRPr="00176BB4">
              <w:rPr>
                <w:rFonts w:asciiTheme="minorHAnsi" w:hAnsiTheme="minorHAnsi" w:cstheme="minorHAnsi"/>
                <w:sz w:val="22"/>
                <w:szCs w:val="22"/>
              </w:rPr>
              <w:t xml:space="preserve">The proposed project has received formal support from local authority by obtaining site control and zoning approval or other form of permissible zoning (5) </w:t>
            </w:r>
          </w:p>
          <w:p w14:paraId="21A5517E" w14:textId="77777777" w:rsidR="00176BB4" w:rsidRPr="00176BB4" w:rsidRDefault="00176BB4">
            <w:pPr>
              <w:pStyle w:val="Default"/>
              <w:rPr>
                <w:rFonts w:asciiTheme="minorHAnsi" w:hAnsiTheme="minorHAnsi" w:cstheme="minorHAnsi"/>
                <w:color w:val="auto"/>
                <w:sz w:val="22"/>
                <w:szCs w:val="22"/>
              </w:rPr>
            </w:pPr>
          </w:p>
        </w:tc>
        <w:tc>
          <w:tcPr>
            <w:tcW w:w="1080" w:type="dxa"/>
            <w:tcBorders>
              <w:top w:val="none" w:sz="6" w:space="0" w:color="auto"/>
              <w:left w:val="none" w:sz="6" w:space="0" w:color="auto"/>
              <w:bottom w:val="none" w:sz="6" w:space="0" w:color="auto"/>
            </w:tcBorders>
          </w:tcPr>
          <w:p w14:paraId="5E341BE0" w14:textId="72909F44" w:rsidR="00176BB4" w:rsidRPr="00176BB4" w:rsidRDefault="00176BB4" w:rsidP="00176BB4">
            <w:pPr>
              <w:pStyle w:val="Default"/>
              <w:jc w:val="center"/>
              <w:rPr>
                <w:rFonts w:asciiTheme="minorHAnsi" w:hAnsiTheme="minorHAnsi" w:cstheme="minorHAnsi"/>
                <w:sz w:val="22"/>
                <w:szCs w:val="22"/>
              </w:rPr>
            </w:pPr>
            <w:r w:rsidRPr="00176BB4">
              <w:rPr>
                <w:rFonts w:asciiTheme="minorHAnsi" w:hAnsiTheme="minorHAnsi" w:cstheme="minorHAnsi"/>
                <w:sz w:val="22"/>
                <w:szCs w:val="22"/>
              </w:rPr>
              <w:t>20</w:t>
            </w:r>
          </w:p>
        </w:tc>
        <w:tc>
          <w:tcPr>
            <w:tcW w:w="1080" w:type="dxa"/>
            <w:tcBorders>
              <w:top w:val="none" w:sz="6" w:space="0" w:color="auto"/>
              <w:left w:val="none" w:sz="6" w:space="0" w:color="auto"/>
              <w:bottom w:val="none" w:sz="6" w:space="0" w:color="auto"/>
            </w:tcBorders>
          </w:tcPr>
          <w:p w14:paraId="19F26A36" w14:textId="77777777" w:rsidR="00176BB4" w:rsidRPr="00176BB4" w:rsidRDefault="00176BB4" w:rsidP="00176BB4">
            <w:pPr>
              <w:pStyle w:val="Default"/>
              <w:jc w:val="center"/>
              <w:rPr>
                <w:rFonts w:asciiTheme="minorHAnsi" w:hAnsiTheme="minorHAnsi" w:cstheme="minorHAnsi"/>
                <w:sz w:val="22"/>
                <w:szCs w:val="22"/>
              </w:rPr>
            </w:pPr>
          </w:p>
        </w:tc>
        <w:tc>
          <w:tcPr>
            <w:tcW w:w="1080" w:type="dxa"/>
            <w:tcBorders>
              <w:top w:val="none" w:sz="6" w:space="0" w:color="auto"/>
              <w:left w:val="none" w:sz="6" w:space="0" w:color="auto"/>
              <w:bottom w:val="none" w:sz="6" w:space="0" w:color="auto"/>
            </w:tcBorders>
          </w:tcPr>
          <w:p w14:paraId="02EAF822" w14:textId="77777777" w:rsidR="00176BB4" w:rsidRPr="00176BB4" w:rsidRDefault="00176BB4" w:rsidP="00176BB4">
            <w:pPr>
              <w:pStyle w:val="Default"/>
              <w:jc w:val="center"/>
              <w:rPr>
                <w:rFonts w:asciiTheme="minorHAnsi" w:hAnsiTheme="minorHAnsi" w:cstheme="minorHAnsi"/>
                <w:sz w:val="22"/>
                <w:szCs w:val="22"/>
              </w:rPr>
            </w:pPr>
          </w:p>
        </w:tc>
      </w:tr>
      <w:tr w:rsidR="00176BB4" w:rsidRPr="00176BB4" w14:paraId="1640C91B" w14:textId="0B3DD00D" w:rsidTr="00176BB4">
        <w:tblPrEx>
          <w:tblCellMar>
            <w:top w:w="0" w:type="dxa"/>
            <w:bottom w:w="0" w:type="dxa"/>
          </w:tblCellMar>
        </w:tblPrEx>
        <w:trPr>
          <w:trHeight w:val="1762"/>
        </w:trPr>
        <w:tc>
          <w:tcPr>
            <w:tcW w:w="6948" w:type="dxa"/>
            <w:tcBorders>
              <w:top w:val="none" w:sz="6" w:space="0" w:color="auto"/>
              <w:bottom w:val="none" w:sz="6" w:space="0" w:color="auto"/>
              <w:right w:val="none" w:sz="6" w:space="0" w:color="auto"/>
            </w:tcBorders>
          </w:tcPr>
          <w:p w14:paraId="034A280F" w14:textId="77777777" w:rsidR="00176BB4" w:rsidRPr="00176BB4" w:rsidRDefault="00176BB4" w:rsidP="00176BB4">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3. Financial feasibility </w:t>
            </w:r>
          </w:p>
          <w:p w14:paraId="4EEF7AD9" w14:textId="77777777" w:rsidR="00176BB4" w:rsidRPr="00176BB4" w:rsidRDefault="00176BB4" w:rsidP="00176BB4">
            <w:pPr>
              <w:pStyle w:val="Default"/>
              <w:rPr>
                <w:rFonts w:asciiTheme="minorHAnsi" w:hAnsiTheme="minorHAnsi" w:cstheme="minorHAnsi"/>
                <w:sz w:val="22"/>
                <w:szCs w:val="22"/>
              </w:rPr>
            </w:pPr>
          </w:p>
          <w:p w14:paraId="5448C7E6" w14:textId="77777777" w:rsidR="00176BB4" w:rsidRPr="00176BB4" w:rsidRDefault="00176BB4" w:rsidP="00176BB4">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MFA will evaluate the extent to which the applicant’s proposed project is financially feasible through a project budget and/or pro forma, the evidence of secure match funding, and/or other supporting documents. Furthermore, MFA will evaluate whether the award amount requested is sufficiently justified and if other financing support has been </w:t>
            </w:r>
            <w:proofErr w:type="gramStart"/>
            <w:r w:rsidRPr="00176BB4">
              <w:rPr>
                <w:rFonts w:asciiTheme="minorHAnsi" w:hAnsiTheme="minorHAnsi" w:cstheme="minorHAnsi"/>
                <w:sz w:val="22"/>
                <w:szCs w:val="22"/>
              </w:rPr>
              <w:t>acquired</w:t>
            </w:r>
            <w:proofErr w:type="gramEnd"/>
            <w:r w:rsidRPr="00176BB4">
              <w:rPr>
                <w:rFonts w:asciiTheme="minorHAnsi" w:hAnsiTheme="minorHAnsi" w:cstheme="minorHAnsi"/>
                <w:sz w:val="22"/>
                <w:szCs w:val="22"/>
              </w:rPr>
              <w:t xml:space="preserve"> </w:t>
            </w:r>
          </w:p>
          <w:p w14:paraId="7CC7D4A6" w14:textId="77777777" w:rsidR="00176BB4" w:rsidRPr="00176BB4" w:rsidRDefault="00176BB4" w:rsidP="00176BB4">
            <w:pPr>
              <w:pStyle w:val="Default"/>
              <w:numPr>
                <w:ilvl w:val="0"/>
                <w:numId w:val="6"/>
              </w:numPr>
              <w:rPr>
                <w:rFonts w:asciiTheme="minorHAnsi" w:hAnsiTheme="minorHAnsi" w:cstheme="minorHAnsi"/>
                <w:sz w:val="22"/>
                <w:szCs w:val="22"/>
              </w:rPr>
            </w:pPr>
            <w:r w:rsidRPr="00176BB4">
              <w:rPr>
                <w:rFonts w:asciiTheme="minorHAnsi" w:hAnsiTheme="minorHAnsi" w:cstheme="minorHAnsi"/>
                <w:sz w:val="22"/>
                <w:szCs w:val="22"/>
              </w:rPr>
              <w:t xml:space="preserve">SF Development Grant Pilot Program funda as a percentage of total development cost (TDC)for affordable units. </w:t>
            </w:r>
          </w:p>
          <w:p w14:paraId="66DE3521" w14:textId="77777777" w:rsidR="00176BB4" w:rsidRPr="00176BB4" w:rsidRDefault="00176BB4" w:rsidP="00176BB4">
            <w:pPr>
              <w:pStyle w:val="Default"/>
              <w:numPr>
                <w:ilvl w:val="1"/>
                <w:numId w:val="6"/>
              </w:numPr>
              <w:rPr>
                <w:rFonts w:asciiTheme="minorHAnsi" w:hAnsiTheme="minorHAnsi" w:cstheme="minorHAnsi"/>
                <w:sz w:val="22"/>
                <w:szCs w:val="22"/>
              </w:rPr>
            </w:pPr>
            <w:r w:rsidRPr="00176BB4">
              <w:rPr>
                <w:rFonts w:asciiTheme="minorHAnsi" w:hAnsiTheme="minorHAnsi" w:cstheme="minorHAnsi"/>
                <w:sz w:val="22"/>
                <w:szCs w:val="22"/>
              </w:rPr>
              <w:t xml:space="preserve">Zero to 10% (17) </w:t>
            </w:r>
          </w:p>
          <w:p w14:paraId="7E175811" w14:textId="77777777" w:rsidR="00176BB4" w:rsidRPr="00176BB4" w:rsidRDefault="00176BB4" w:rsidP="00176BB4">
            <w:pPr>
              <w:pStyle w:val="Default"/>
              <w:numPr>
                <w:ilvl w:val="1"/>
                <w:numId w:val="6"/>
              </w:numPr>
              <w:rPr>
                <w:rFonts w:asciiTheme="minorHAnsi" w:hAnsiTheme="minorHAnsi" w:cstheme="minorHAnsi"/>
                <w:sz w:val="22"/>
                <w:szCs w:val="22"/>
              </w:rPr>
            </w:pPr>
            <w:r w:rsidRPr="00176BB4">
              <w:rPr>
                <w:rFonts w:asciiTheme="minorHAnsi" w:hAnsiTheme="minorHAnsi" w:cstheme="minorHAnsi"/>
                <w:sz w:val="22"/>
                <w:szCs w:val="22"/>
              </w:rPr>
              <w:t xml:space="preserve">Greater than 10% to 20% (12) </w:t>
            </w:r>
          </w:p>
          <w:p w14:paraId="2F6CA72E" w14:textId="77777777" w:rsidR="00176BB4" w:rsidRPr="00176BB4" w:rsidRDefault="00176BB4" w:rsidP="00176BB4">
            <w:pPr>
              <w:pStyle w:val="Default"/>
              <w:numPr>
                <w:ilvl w:val="1"/>
                <w:numId w:val="6"/>
              </w:numPr>
              <w:rPr>
                <w:rFonts w:asciiTheme="minorHAnsi" w:hAnsiTheme="minorHAnsi" w:cstheme="minorHAnsi"/>
                <w:sz w:val="22"/>
                <w:szCs w:val="22"/>
              </w:rPr>
            </w:pPr>
            <w:r w:rsidRPr="00176BB4">
              <w:rPr>
                <w:rFonts w:asciiTheme="minorHAnsi" w:hAnsiTheme="minorHAnsi" w:cstheme="minorHAnsi"/>
                <w:sz w:val="22"/>
                <w:szCs w:val="22"/>
              </w:rPr>
              <w:t xml:space="preserve">Greater than 20% to 30% (10) </w:t>
            </w:r>
          </w:p>
          <w:p w14:paraId="49A9E43C" w14:textId="77777777" w:rsidR="00176BB4" w:rsidRPr="00176BB4" w:rsidRDefault="00176BB4" w:rsidP="00176BB4">
            <w:pPr>
              <w:pStyle w:val="Default"/>
              <w:numPr>
                <w:ilvl w:val="1"/>
                <w:numId w:val="6"/>
              </w:numPr>
              <w:rPr>
                <w:rFonts w:asciiTheme="minorHAnsi" w:hAnsiTheme="minorHAnsi" w:cstheme="minorHAnsi"/>
                <w:sz w:val="22"/>
                <w:szCs w:val="22"/>
              </w:rPr>
            </w:pPr>
            <w:r w:rsidRPr="00176BB4">
              <w:rPr>
                <w:rFonts w:asciiTheme="minorHAnsi" w:hAnsiTheme="minorHAnsi" w:cstheme="minorHAnsi"/>
                <w:sz w:val="22"/>
                <w:szCs w:val="22"/>
              </w:rPr>
              <w:t xml:space="preserve">Greater than 30% to 40% (8) </w:t>
            </w:r>
          </w:p>
          <w:p w14:paraId="2D96F534" w14:textId="5A3F4E40" w:rsidR="00176BB4" w:rsidRPr="00176BB4" w:rsidRDefault="00176BB4" w:rsidP="00176BB4">
            <w:pPr>
              <w:pStyle w:val="Default"/>
              <w:numPr>
                <w:ilvl w:val="1"/>
                <w:numId w:val="6"/>
              </w:numPr>
              <w:rPr>
                <w:rFonts w:asciiTheme="minorHAnsi" w:hAnsiTheme="minorHAnsi" w:cstheme="minorHAnsi"/>
                <w:sz w:val="22"/>
                <w:szCs w:val="22"/>
              </w:rPr>
            </w:pPr>
            <w:r w:rsidRPr="00176BB4">
              <w:rPr>
                <w:rFonts w:asciiTheme="minorHAnsi" w:hAnsiTheme="minorHAnsi" w:cstheme="minorHAnsi"/>
                <w:sz w:val="22"/>
                <w:szCs w:val="22"/>
              </w:rPr>
              <w:t xml:space="preserve">Greater than 40% (6) </w:t>
            </w:r>
          </w:p>
          <w:p w14:paraId="13499519" w14:textId="6EEAF679" w:rsidR="00176BB4" w:rsidRPr="00176BB4" w:rsidRDefault="00176BB4" w:rsidP="00176BB4">
            <w:pPr>
              <w:pStyle w:val="Default"/>
              <w:numPr>
                <w:ilvl w:val="0"/>
                <w:numId w:val="6"/>
              </w:numPr>
              <w:rPr>
                <w:rFonts w:asciiTheme="minorHAnsi" w:hAnsiTheme="minorHAnsi" w:cstheme="minorHAnsi"/>
                <w:sz w:val="22"/>
                <w:szCs w:val="22"/>
              </w:rPr>
            </w:pPr>
            <w:r w:rsidRPr="00176BB4">
              <w:rPr>
                <w:rFonts w:asciiTheme="minorHAnsi" w:hAnsiTheme="minorHAnsi" w:cstheme="minorHAnsi"/>
                <w:sz w:val="22"/>
                <w:szCs w:val="22"/>
              </w:rPr>
              <w:t xml:space="preserve">Per unit subsidy is reasonable based on income level served. (7) </w:t>
            </w:r>
          </w:p>
          <w:p w14:paraId="08E9A552" w14:textId="776B3817" w:rsidR="00176BB4" w:rsidRPr="00176BB4" w:rsidRDefault="00176BB4" w:rsidP="00176BB4">
            <w:pPr>
              <w:pStyle w:val="Default"/>
              <w:numPr>
                <w:ilvl w:val="0"/>
                <w:numId w:val="6"/>
              </w:numPr>
              <w:rPr>
                <w:rFonts w:asciiTheme="minorHAnsi" w:hAnsiTheme="minorHAnsi" w:cstheme="minorHAnsi"/>
                <w:sz w:val="22"/>
                <w:szCs w:val="22"/>
              </w:rPr>
            </w:pPr>
            <w:r w:rsidRPr="00176BB4">
              <w:rPr>
                <w:rFonts w:asciiTheme="minorHAnsi" w:hAnsiTheme="minorHAnsi" w:cstheme="minorHAnsi"/>
                <w:sz w:val="22"/>
                <w:szCs w:val="22"/>
              </w:rPr>
              <w:lastRenderedPageBreak/>
              <w:t xml:space="preserve">Other gap funding (if applicable) </w:t>
            </w:r>
          </w:p>
          <w:p w14:paraId="0677E7FA" w14:textId="7A7754D5" w:rsidR="00176BB4" w:rsidRPr="00176BB4" w:rsidRDefault="00176BB4" w:rsidP="00176BB4">
            <w:pPr>
              <w:pStyle w:val="Default"/>
              <w:numPr>
                <w:ilvl w:val="1"/>
                <w:numId w:val="6"/>
              </w:numPr>
              <w:rPr>
                <w:rFonts w:asciiTheme="minorHAnsi" w:hAnsiTheme="minorHAnsi" w:cstheme="minorHAnsi"/>
                <w:sz w:val="22"/>
                <w:szCs w:val="22"/>
              </w:rPr>
            </w:pPr>
            <w:r w:rsidRPr="00176BB4">
              <w:rPr>
                <w:rFonts w:asciiTheme="minorHAnsi" w:hAnsiTheme="minorHAnsi" w:cstheme="minorHAnsi"/>
                <w:sz w:val="22"/>
                <w:szCs w:val="22"/>
              </w:rPr>
              <w:t xml:space="preserve">has been committed. (6) </w:t>
            </w:r>
          </w:p>
          <w:p w14:paraId="38919D4C" w14:textId="58C7DA3B" w:rsidR="00176BB4" w:rsidRPr="00176BB4" w:rsidRDefault="00176BB4" w:rsidP="00176BB4">
            <w:pPr>
              <w:pStyle w:val="Default"/>
              <w:numPr>
                <w:ilvl w:val="1"/>
                <w:numId w:val="6"/>
              </w:numPr>
              <w:rPr>
                <w:rFonts w:asciiTheme="minorHAnsi" w:hAnsiTheme="minorHAnsi" w:cstheme="minorHAnsi"/>
                <w:sz w:val="22"/>
                <w:szCs w:val="22"/>
              </w:rPr>
            </w:pPr>
            <w:r w:rsidRPr="00176BB4">
              <w:rPr>
                <w:rFonts w:asciiTheme="minorHAnsi" w:hAnsiTheme="minorHAnsi" w:cstheme="minorHAnsi"/>
                <w:sz w:val="22"/>
                <w:szCs w:val="22"/>
              </w:rPr>
              <w:t xml:space="preserve">has not formally been committed and is pending approval (2) </w:t>
            </w:r>
          </w:p>
        </w:tc>
        <w:tc>
          <w:tcPr>
            <w:tcW w:w="1080" w:type="dxa"/>
            <w:tcBorders>
              <w:top w:val="none" w:sz="6" w:space="0" w:color="auto"/>
              <w:left w:val="none" w:sz="6" w:space="0" w:color="auto"/>
              <w:bottom w:val="none" w:sz="6" w:space="0" w:color="auto"/>
            </w:tcBorders>
          </w:tcPr>
          <w:p w14:paraId="454C2C00" w14:textId="411AB4D9" w:rsidR="00176BB4" w:rsidRPr="00176BB4" w:rsidRDefault="00176BB4" w:rsidP="00176BB4">
            <w:pPr>
              <w:pStyle w:val="Default"/>
              <w:jc w:val="center"/>
              <w:rPr>
                <w:rFonts w:asciiTheme="minorHAnsi" w:hAnsiTheme="minorHAnsi" w:cstheme="minorHAnsi"/>
                <w:sz w:val="22"/>
                <w:szCs w:val="22"/>
              </w:rPr>
            </w:pPr>
            <w:r w:rsidRPr="00176BB4">
              <w:rPr>
                <w:rFonts w:asciiTheme="minorHAnsi" w:hAnsiTheme="minorHAnsi" w:cstheme="minorHAnsi"/>
                <w:sz w:val="22"/>
                <w:szCs w:val="22"/>
              </w:rPr>
              <w:lastRenderedPageBreak/>
              <w:t>30</w:t>
            </w:r>
          </w:p>
        </w:tc>
        <w:tc>
          <w:tcPr>
            <w:tcW w:w="1080" w:type="dxa"/>
            <w:tcBorders>
              <w:top w:val="none" w:sz="6" w:space="0" w:color="auto"/>
              <w:left w:val="none" w:sz="6" w:space="0" w:color="auto"/>
              <w:bottom w:val="none" w:sz="6" w:space="0" w:color="auto"/>
            </w:tcBorders>
          </w:tcPr>
          <w:p w14:paraId="76237A35" w14:textId="77777777" w:rsidR="00176BB4" w:rsidRPr="00176BB4" w:rsidRDefault="00176BB4" w:rsidP="00176BB4">
            <w:pPr>
              <w:pStyle w:val="Default"/>
              <w:jc w:val="center"/>
              <w:rPr>
                <w:rFonts w:asciiTheme="minorHAnsi" w:hAnsiTheme="minorHAnsi" w:cstheme="minorHAnsi"/>
                <w:sz w:val="22"/>
                <w:szCs w:val="22"/>
              </w:rPr>
            </w:pPr>
          </w:p>
        </w:tc>
        <w:tc>
          <w:tcPr>
            <w:tcW w:w="1080" w:type="dxa"/>
            <w:tcBorders>
              <w:top w:val="none" w:sz="6" w:space="0" w:color="auto"/>
              <w:left w:val="none" w:sz="6" w:space="0" w:color="auto"/>
              <w:bottom w:val="none" w:sz="6" w:space="0" w:color="auto"/>
            </w:tcBorders>
          </w:tcPr>
          <w:p w14:paraId="5D632FD5" w14:textId="77777777" w:rsidR="00176BB4" w:rsidRPr="00176BB4" w:rsidRDefault="00176BB4" w:rsidP="00176BB4">
            <w:pPr>
              <w:pStyle w:val="Default"/>
              <w:jc w:val="center"/>
              <w:rPr>
                <w:rFonts w:asciiTheme="minorHAnsi" w:hAnsiTheme="minorHAnsi" w:cstheme="minorHAnsi"/>
                <w:sz w:val="22"/>
                <w:szCs w:val="22"/>
              </w:rPr>
            </w:pPr>
          </w:p>
        </w:tc>
      </w:tr>
      <w:tr w:rsidR="00176BB4" w:rsidRPr="00176BB4" w14:paraId="6FA562F3" w14:textId="412ED630" w:rsidTr="00176BB4">
        <w:tblPrEx>
          <w:tblCellMar>
            <w:top w:w="0" w:type="dxa"/>
            <w:bottom w:w="0" w:type="dxa"/>
          </w:tblCellMar>
        </w:tblPrEx>
        <w:trPr>
          <w:trHeight w:val="1762"/>
        </w:trPr>
        <w:tc>
          <w:tcPr>
            <w:tcW w:w="6948" w:type="dxa"/>
            <w:tcBorders>
              <w:top w:val="none" w:sz="6" w:space="0" w:color="auto"/>
              <w:bottom w:val="none" w:sz="6" w:space="0" w:color="auto"/>
              <w:right w:val="none" w:sz="6" w:space="0" w:color="auto"/>
            </w:tcBorders>
          </w:tcPr>
          <w:p w14:paraId="6A750790" w14:textId="77777777" w:rsidR="00176BB4" w:rsidRPr="00176BB4" w:rsidRDefault="00176BB4" w:rsidP="00176BB4">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4. Project Design </w:t>
            </w:r>
          </w:p>
          <w:p w14:paraId="26B016C0" w14:textId="77777777" w:rsidR="00176BB4" w:rsidRPr="00176BB4" w:rsidRDefault="00176BB4" w:rsidP="00176BB4">
            <w:pPr>
              <w:pStyle w:val="Default"/>
              <w:rPr>
                <w:rFonts w:asciiTheme="minorHAnsi" w:hAnsiTheme="minorHAnsi" w:cstheme="minorHAnsi"/>
                <w:sz w:val="22"/>
                <w:szCs w:val="22"/>
              </w:rPr>
            </w:pPr>
          </w:p>
          <w:p w14:paraId="4C658BC1" w14:textId="77777777" w:rsidR="00176BB4" w:rsidRPr="00176BB4" w:rsidRDefault="00176BB4" w:rsidP="00176BB4">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MFA will evaluate the extent to which the applicant’s project design includes the following long-term affordability protection and a service delivery structure. </w:t>
            </w:r>
          </w:p>
          <w:p w14:paraId="282FD410" w14:textId="77777777" w:rsidR="00176BB4" w:rsidRPr="00176BB4" w:rsidRDefault="00176BB4" w:rsidP="00176BB4">
            <w:pPr>
              <w:pStyle w:val="Default"/>
              <w:numPr>
                <w:ilvl w:val="0"/>
                <w:numId w:val="8"/>
              </w:numPr>
              <w:rPr>
                <w:rFonts w:asciiTheme="minorHAnsi" w:hAnsiTheme="minorHAnsi" w:cstheme="minorHAnsi"/>
                <w:sz w:val="22"/>
                <w:szCs w:val="22"/>
              </w:rPr>
            </w:pPr>
            <w:r w:rsidRPr="00176BB4">
              <w:rPr>
                <w:rFonts w:asciiTheme="minorHAnsi" w:hAnsiTheme="minorHAnsi" w:cstheme="minorHAnsi"/>
                <w:sz w:val="22"/>
                <w:szCs w:val="22"/>
              </w:rPr>
              <w:t>Long-term affordability protection through Land Use Restriction Agreement, credit due upon sale, forgivable loan, or other structure</w:t>
            </w:r>
          </w:p>
          <w:p w14:paraId="1CC6F589" w14:textId="77777777" w:rsidR="00176BB4" w:rsidRPr="00176BB4" w:rsidRDefault="00176BB4" w:rsidP="00176BB4">
            <w:pPr>
              <w:pStyle w:val="Default"/>
              <w:numPr>
                <w:ilvl w:val="1"/>
                <w:numId w:val="8"/>
              </w:numPr>
              <w:rPr>
                <w:rFonts w:asciiTheme="minorHAnsi" w:hAnsiTheme="minorHAnsi" w:cstheme="minorHAnsi"/>
                <w:sz w:val="22"/>
                <w:szCs w:val="22"/>
              </w:rPr>
            </w:pPr>
            <w:r w:rsidRPr="00176BB4">
              <w:rPr>
                <w:rFonts w:asciiTheme="minorHAnsi" w:hAnsiTheme="minorHAnsi" w:cstheme="minorHAnsi"/>
                <w:sz w:val="22"/>
                <w:szCs w:val="22"/>
              </w:rPr>
              <w:t xml:space="preserve">10 years (3) </w:t>
            </w:r>
          </w:p>
          <w:p w14:paraId="39F3A71C" w14:textId="77777777" w:rsidR="00176BB4" w:rsidRPr="00176BB4" w:rsidRDefault="00176BB4" w:rsidP="00176BB4">
            <w:pPr>
              <w:pStyle w:val="Default"/>
              <w:numPr>
                <w:ilvl w:val="1"/>
                <w:numId w:val="8"/>
              </w:numPr>
              <w:rPr>
                <w:rFonts w:asciiTheme="minorHAnsi" w:hAnsiTheme="minorHAnsi" w:cstheme="minorHAnsi"/>
                <w:sz w:val="22"/>
                <w:szCs w:val="22"/>
              </w:rPr>
            </w:pPr>
            <w:r w:rsidRPr="00176BB4">
              <w:rPr>
                <w:rFonts w:asciiTheme="minorHAnsi" w:hAnsiTheme="minorHAnsi" w:cstheme="minorHAnsi"/>
                <w:sz w:val="22"/>
                <w:szCs w:val="22"/>
              </w:rPr>
              <w:t xml:space="preserve">15 years (4) </w:t>
            </w:r>
          </w:p>
          <w:p w14:paraId="5E8C5E06" w14:textId="3CA25069" w:rsidR="00176BB4" w:rsidRPr="00176BB4" w:rsidRDefault="00176BB4" w:rsidP="00176BB4">
            <w:pPr>
              <w:pStyle w:val="Default"/>
              <w:numPr>
                <w:ilvl w:val="1"/>
                <w:numId w:val="8"/>
              </w:numPr>
              <w:rPr>
                <w:rFonts w:asciiTheme="minorHAnsi" w:hAnsiTheme="minorHAnsi" w:cstheme="minorHAnsi"/>
                <w:sz w:val="22"/>
                <w:szCs w:val="22"/>
              </w:rPr>
            </w:pPr>
            <w:r w:rsidRPr="00176BB4">
              <w:rPr>
                <w:rFonts w:asciiTheme="minorHAnsi" w:hAnsiTheme="minorHAnsi" w:cstheme="minorHAnsi"/>
                <w:sz w:val="22"/>
                <w:szCs w:val="22"/>
              </w:rPr>
              <w:t xml:space="preserve">20 years (5) </w:t>
            </w:r>
          </w:p>
          <w:p w14:paraId="793A7771" w14:textId="77777777" w:rsidR="00176BB4" w:rsidRPr="00176BB4" w:rsidRDefault="00176BB4" w:rsidP="00176BB4">
            <w:pPr>
              <w:pStyle w:val="Default"/>
              <w:numPr>
                <w:ilvl w:val="0"/>
                <w:numId w:val="8"/>
              </w:numPr>
              <w:rPr>
                <w:rFonts w:asciiTheme="minorHAnsi" w:hAnsiTheme="minorHAnsi" w:cstheme="minorHAnsi"/>
                <w:sz w:val="22"/>
                <w:szCs w:val="22"/>
              </w:rPr>
            </w:pPr>
            <w:r w:rsidRPr="00176BB4">
              <w:rPr>
                <w:rFonts w:asciiTheme="minorHAnsi" w:hAnsiTheme="minorHAnsi" w:cstheme="minorHAnsi"/>
                <w:sz w:val="22"/>
                <w:szCs w:val="22"/>
              </w:rPr>
              <w:t>A project homeownership implementation plan outlining the following</w:t>
            </w:r>
            <w:r w:rsidRPr="00176BB4">
              <w:rPr>
                <w:rFonts w:asciiTheme="minorHAnsi" w:hAnsiTheme="minorHAnsi" w:cstheme="minorHAnsi"/>
                <w:sz w:val="22"/>
                <w:szCs w:val="22"/>
              </w:rPr>
              <w:t>:</w:t>
            </w:r>
          </w:p>
          <w:p w14:paraId="0883F9C7" w14:textId="77777777" w:rsidR="00176BB4" w:rsidRPr="00176BB4" w:rsidRDefault="00176BB4" w:rsidP="00176BB4">
            <w:pPr>
              <w:pStyle w:val="Default"/>
              <w:numPr>
                <w:ilvl w:val="1"/>
                <w:numId w:val="8"/>
              </w:numPr>
              <w:rPr>
                <w:rFonts w:asciiTheme="minorHAnsi" w:hAnsiTheme="minorHAnsi" w:cstheme="minorHAnsi"/>
                <w:sz w:val="22"/>
                <w:szCs w:val="22"/>
              </w:rPr>
            </w:pPr>
            <w:r w:rsidRPr="00176BB4">
              <w:rPr>
                <w:rFonts w:asciiTheme="minorHAnsi" w:hAnsiTheme="minorHAnsi" w:cstheme="minorHAnsi"/>
                <w:sz w:val="22"/>
                <w:szCs w:val="22"/>
              </w:rPr>
              <w:t>Target population and/or income (2)</w:t>
            </w:r>
          </w:p>
          <w:p w14:paraId="37C242FF" w14:textId="77777777" w:rsidR="00176BB4" w:rsidRPr="00176BB4" w:rsidRDefault="00176BB4" w:rsidP="00176BB4">
            <w:pPr>
              <w:pStyle w:val="Default"/>
              <w:numPr>
                <w:ilvl w:val="1"/>
                <w:numId w:val="8"/>
              </w:numPr>
              <w:rPr>
                <w:rFonts w:asciiTheme="minorHAnsi" w:hAnsiTheme="minorHAnsi" w:cstheme="minorHAnsi"/>
                <w:sz w:val="22"/>
                <w:szCs w:val="22"/>
              </w:rPr>
            </w:pPr>
            <w:r w:rsidRPr="00176BB4">
              <w:rPr>
                <w:rFonts w:asciiTheme="minorHAnsi" w:hAnsiTheme="minorHAnsi" w:cstheme="minorHAnsi"/>
                <w:sz w:val="22"/>
                <w:szCs w:val="22"/>
              </w:rPr>
              <w:t xml:space="preserve">Marketing strategy (2) </w:t>
            </w:r>
          </w:p>
          <w:p w14:paraId="343F82F2" w14:textId="77777777" w:rsidR="00176BB4" w:rsidRPr="00176BB4" w:rsidRDefault="00176BB4" w:rsidP="00176BB4">
            <w:pPr>
              <w:pStyle w:val="Default"/>
              <w:numPr>
                <w:ilvl w:val="1"/>
                <w:numId w:val="8"/>
              </w:numPr>
              <w:rPr>
                <w:rFonts w:asciiTheme="minorHAnsi" w:hAnsiTheme="minorHAnsi" w:cstheme="minorHAnsi"/>
                <w:sz w:val="22"/>
                <w:szCs w:val="22"/>
              </w:rPr>
            </w:pPr>
            <w:r w:rsidRPr="00176BB4">
              <w:rPr>
                <w:rFonts w:asciiTheme="minorHAnsi" w:hAnsiTheme="minorHAnsi" w:cstheme="minorHAnsi"/>
                <w:sz w:val="22"/>
                <w:szCs w:val="22"/>
              </w:rPr>
              <w:t xml:space="preserve">Homebuyer and homeowner education (3) </w:t>
            </w:r>
          </w:p>
          <w:p w14:paraId="1AC97830" w14:textId="77777777" w:rsidR="00176BB4" w:rsidRPr="00176BB4" w:rsidRDefault="00176BB4" w:rsidP="00176BB4">
            <w:pPr>
              <w:pStyle w:val="Default"/>
              <w:numPr>
                <w:ilvl w:val="1"/>
                <w:numId w:val="8"/>
              </w:numPr>
              <w:rPr>
                <w:rFonts w:asciiTheme="minorHAnsi" w:hAnsiTheme="minorHAnsi" w:cstheme="minorHAnsi"/>
                <w:sz w:val="22"/>
                <w:szCs w:val="22"/>
              </w:rPr>
            </w:pPr>
            <w:r w:rsidRPr="00176BB4">
              <w:rPr>
                <w:rFonts w:asciiTheme="minorHAnsi" w:hAnsiTheme="minorHAnsi" w:cstheme="minorHAnsi"/>
                <w:sz w:val="22"/>
                <w:szCs w:val="22"/>
              </w:rPr>
              <w:t xml:space="preserve">Completion schedule (4) </w:t>
            </w:r>
          </w:p>
          <w:p w14:paraId="49FFF3F5" w14:textId="4A8F5EC4" w:rsidR="00176BB4" w:rsidRPr="00176BB4" w:rsidRDefault="00176BB4" w:rsidP="00176BB4">
            <w:pPr>
              <w:pStyle w:val="Default"/>
              <w:numPr>
                <w:ilvl w:val="1"/>
                <w:numId w:val="8"/>
              </w:numPr>
              <w:rPr>
                <w:rFonts w:asciiTheme="minorHAnsi" w:hAnsiTheme="minorHAnsi" w:cstheme="minorHAnsi"/>
                <w:sz w:val="22"/>
                <w:szCs w:val="22"/>
              </w:rPr>
            </w:pPr>
            <w:r w:rsidRPr="00176BB4">
              <w:rPr>
                <w:rFonts w:asciiTheme="minorHAnsi" w:hAnsiTheme="minorHAnsi" w:cstheme="minorHAnsi"/>
                <w:sz w:val="22"/>
                <w:szCs w:val="22"/>
              </w:rPr>
              <w:t xml:space="preserve">Homebuyer approval process (4) </w:t>
            </w:r>
          </w:p>
          <w:p w14:paraId="10091E55" w14:textId="77777777" w:rsidR="00176BB4" w:rsidRPr="00176BB4" w:rsidRDefault="00176BB4">
            <w:pPr>
              <w:pStyle w:val="Default"/>
              <w:rPr>
                <w:rFonts w:asciiTheme="minorHAnsi" w:hAnsiTheme="minorHAnsi" w:cstheme="minorHAnsi"/>
                <w:color w:val="auto"/>
                <w:sz w:val="22"/>
                <w:szCs w:val="22"/>
              </w:rPr>
            </w:pPr>
          </w:p>
        </w:tc>
        <w:tc>
          <w:tcPr>
            <w:tcW w:w="1080" w:type="dxa"/>
            <w:tcBorders>
              <w:top w:val="none" w:sz="6" w:space="0" w:color="auto"/>
              <w:left w:val="none" w:sz="6" w:space="0" w:color="auto"/>
              <w:bottom w:val="none" w:sz="6" w:space="0" w:color="auto"/>
            </w:tcBorders>
          </w:tcPr>
          <w:p w14:paraId="48DD5F7F" w14:textId="3F042981" w:rsidR="00176BB4" w:rsidRPr="00176BB4" w:rsidRDefault="00176BB4" w:rsidP="00176BB4">
            <w:pPr>
              <w:pStyle w:val="Default"/>
              <w:jc w:val="center"/>
              <w:rPr>
                <w:rFonts w:asciiTheme="minorHAnsi" w:hAnsiTheme="minorHAnsi" w:cstheme="minorHAnsi"/>
                <w:sz w:val="22"/>
                <w:szCs w:val="22"/>
              </w:rPr>
            </w:pPr>
            <w:r w:rsidRPr="00176BB4">
              <w:rPr>
                <w:rFonts w:asciiTheme="minorHAnsi" w:hAnsiTheme="minorHAnsi" w:cstheme="minorHAnsi"/>
                <w:sz w:val="22"/>
                <w:szCs w:val="22"/>
              </w:rPr>
              <w:t>20</w:t>
            </w:r>
          </w:p>
        </w:tc>
        <w:tc>
          <w:tcPr>
            <w:tcW w:w="1080" w:type="dxa"/>
            <w:tcBorders>
              <w:top w:val="none" w:sz="6" w:space="0" w:color="auto"/>
              <w:left w:val="none" w:sz="6" w:space="0" w:color="auto"/>
              <w:bottom w:val="none" w:sz="6" w:space="0" w:color="auto"/>
            </w:tcBorders>
          </w:tcPr>
          <w:p w14:paraId="02C0BB78" w14:textId="77777777" w:rsidR="00176BB4" w:rsidRPr="00176BB4" w:rsidRDefault="00176BB4" w:rsidP="00176BB4">
            <w:pPr>
              <w:pStyle w:val="Default"/>
              <w:jc w:val="center"/>
              <w:rPr>
                <w:rFonts w:asciiTheme="minorHAnsi" w:hAnsiTheme="minorHAnsi" w:cstheme="minorHAnsi"/>
                <w:sz w:val="22"/>
                <w:szCs w:val="22"/>
              </w:rPr>
            </w:pPr>
          </w:p>
        </w:tc>
        <w:tc>
          <w:tcPr>
            <w:tcW w:w="1080" w:type="dxa"/>
            <w:tcBorders>
              <w:top w:val="none" w:sz="6" w:space="0" w:color="auto"/>
              <w:left w:val="none" w:sz="6" w:space="0" w:color="auto"/>
              <w:bottom w:val="none" w:sz="6" w:space="0" w:color="auto"/>
            </w:tcBorders>
          </w:tcPr>
          <w:p w14:paraId="3CDBB57F" w14:textId="77777777" w:rsidR="00176BB4" w:rsidRPr="00176BB4" w:rsidRDefault="00176BB4" w:rsidP="00176BB4">
            <w:pPr>
              <w:pStyle w:val="Default"/>
              <w:jc w:val="center"/>
              <w:rPr>
                <w:rFonts w:asciiTheme="minorHAnsi" w:hAnsiTheme="minorHAnsi" w:cstheme="minorHAnsi"/>
                <w:sz w:val="22"/>
                <w:szCs w:val="22"/>
              </w:rPr>
            </w:pPr>
          </w:p>
        </w:tc>
      </w:tr>
      <w:tr w:rsidR="00176BB4" w:rsidRPr="00176BB4" w14:paraId="2C114A2E" w14:textId="53CE9C9B" w:rsidTr="00176BB4">
        <w:tblPrEx>
          <w:tblCellMar>
            <w:top w:w="0" w:type="dxa"/>
            <w:bottom w:w="0" w:type="dxa"/>
          </w:tblCellMar>
        </w:tblPrEx>
        <w:trPr>
          <w:trHeight w:val="1762"/>
        </w:trPr>
        <w:tc>
          <w:tcPr>
            <w:tcW w:w="6948" w:type="dxa"/>
            <w:tcBorders>
              <w:top w:val="none" w:sz="6" w:space="0" w:color="auto"/>
              <w:bottom w:val="none" w:sz="6" w:space="0" w:color="auto"/>
              <w:right w:val="none" w:sz="6" w:space="0" w:color="auto"/>
            </w:tcBorders>
          </w:tcPr>
          <w:p w14:paraId="0075E5FE" w14:textId="77777777" w:rsidR="00176BB4" w:rsidRPr="00176BB4" w:rsidRDefault="00176BB4" w:rsidP="00176BB4">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5. Tribal or rural priority </w:t>
            </w:r>
          </w:p>
          <w:p w14:paraId="5CB4C9C0" w14:textId="77777777" w:rsidR="00176BB4" w:rsidRPr="00176BB4" w:rsidRDefault="00176BB4" w:rsidP="00176BB4">
            <w:pPr>
              <w:pStyle w:val="Default"/>
              <w:rPr>
                <w:rFonts w:asciiTheme="minorHAnsi" w:hAnsiTheme="minorHAnsi" w:cstheme="minorHAnsi"/>
                <w:sz w:val="22"/>
                <w:szCs w:val="22"/>
              </w:rPr>
            </w:pPr>
          </w:p>
          <w:p w14:paraId="2EA966B2" w14:textId="3AAEBDD1" w:rsidR="00176BB4" w:rsidRPr="00176BB4" w:rsidRDefault="00176BB4" w:rsidP="00176BB4">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FA will evaluate the extent to which an applicant’s proposed project will serve residents in rural communities (defined as any of the following: a place having fewer than 2,500 inhabitants, a county or parish with an urban population of 20,000 inhabitants or less, any place with a population not </w:t>
            </w:r>
            <w:proofErr w:type="gramStart"/>
            <w:r w:rsidRPr="00176BB4">
              <w:rPr>
                <w:rFonts w:asciiTheme="minorHAnsi" w:hAnsiTheme="minorHAnsi" w:cstheme="minorHAnsi"/>
                <w:sz w:val="22"/>
                <w:szCs w:val="22"/>
              </w:rPr>
              <w:t>in excess of</w:t>
            </w:r>
            <w:proofErr w:type="gramEnd"/>
            <w:r w:rsidRPr="00176BB4">
              <w:rPr>
                <w:rFonts w:asciiTheme="minorHAnsi" w:hAnsiTheme="minorHAnsi" w:cstheme="minorHAnsi"/>
                <w:sz w:val="22"/>
                <w:szCs w:val="22"/>
              </w:rPr>
              <w:t xml:space="preserve"> 20,000 inhabitants and not located in a Metropolitan Statistical Area) and/or residents of Tribal areas. The application must include a map of the proposed project site. </w:t>
            </w:r>
          </w:p>
          <w:p w14:paraId="544FEEE1" w14:textId="77777777" w:rsidR="00176BB4" w:rsidRPr="00176BB4" w:rsidRDefault="00176BB4">
            <w:pPr>
              <w:pStyle w:val="Default"/>
              <w:rPr>
                <w:rFonts w:asciiTheme="minorHAnsi" w:hAnsiTheme="minorHAnsi" w:cstheme="minorHAnsi"/>
                <w:color w:val="auto"/>
                <w:sz w:val="22"/>
                <w:szCs w:val="22"/>
              </w:rPr>
            </w:pPr>
          </w:p>
        </w:tc>
        <w:tc>
          <w:tcPr>
            <w:tcW w:w="1080" w:type="dxa"/>
            <w:tcBorders>
              <w:top w:val="none" w:sz="6" w:space="0" w:color="auto"/>
              <w:left w:val="none" w:sz="6" w:space="0" w:color="auto"/>
              <w:bottom w:val="none" w:sz="6" w:space="0" w:color="auto"/>
            </w:tcBorders>
          </w:tcPr>
          <w:p w14:paraId="198C07BB" w14:textId="0236B798" w:rsidR="00176BB4" w:rsidRPr="00176BB4" w:rsidRDefault="00176BB4" w:rsidP="00176BB4">
            <w:pPr>
              <w:pStyle w:val="Default"/>
              <w:jc w:val="center"/>
              <w:rPr>
                <w:rFonts w:asciiTheme="minorHAnsi" w:hAnsiTheme="minorHAnsi" w:cstheme="minorHAnsi"/>
                <w:sz w:val="22"/>
                <w:szCs w:val="22"/>
              </w:rPr>
            </w:pPr>
            <w:r w:rsidRPr="00176BB4">
              <w:rPr>
                <w:rFonts w:asciiTheme="minorHAnsi" w:hAnsiTheme="minorHAnsi" w:cstheme="minorHAnsi"/>
                <w:sz w:val="22"/>
                <w:szCs w:val="22"/>
              </w:rPr>
              <w:t>10</w:t>
            </w:r>
          </w:p>
        </w:tc>
        <w:tc>
          <w:tcPr>
            <w:tcW w:w="1080" w:type="dxa"/>
            <w:tcBorders>
              <w:top w:val="none" w:sz="6" w:space="0" w:color="auto"/>
              <w:left w:val="none" w:sz="6" w:space="0" w:color="auto"/>
              <w:bottom w:val="none" w:sz="6" w:space="0" w:color="auto"/>
            </w:tcBorders>
          </w:tcPr>
          <w:p w14:paraId="7C3A8294" w14:textId="77777777" w:rsidR="00176BB4" w:rsidRPr="00176BB4" w:rsidRDefault="00176BB4" w:rsidP="00176BB4">
            <w:pPr>
              <w:pStyle w:val="Default"/>
              <w:jc w:val="center"/>
              <w:rPr>
                <w:rFonts w:asciiTheme="minorHAnsi" w:hAnsiTheme="minorHAnsi" w:cstheme="minorHAnsi"/>
                <w:sz w:val="22"/>
                <w:szCs w:val="22"/>
              </w:rPr>
            </w:pPr>
          </w:p>
        </w:tc>
        <w:tc>
          <w:tcPr>
            <w:tcW w:w="1080" w:type="dxa"/>
            <w:tcBorders>
              <w:top w:val="none" w:sz="6" w:space="0" w:color="auto"/>
              <w:left w:val="none" w:sz="6" w:space="0" w:color="auto"/>
              <w:bottom w:val="none" w:sz="6" w:space="0" w:color="auto"/>
            </w:tcBorders>
          </w:tcPr>
          <w:p w14:paraId="385ACD7C" w14:textId="77777777" w:rsidR="00176BB4" w:rsidRPr="00176BB4" w:rsidRDefault="00176BB4" w:rsidP="00176BB4">
            <w:pPr>
              <w:pStyle w:val="Default"/>
              <w:jc w:val="center"/>
              <w:rPr>
                <w:rFonts w:asciiTheme="minorHAnsi" w:hAnsiTheme="minorHAnsi" w:cstheme="minorHAnsi"/>
                <w:sz w:val="22"/>
                <w:szCs w:val="22"/>
              </w:rPr>
            </w:pPr>
          </w:p>
        </w:tc>
      </w:tr>
      <w:tr w:rsidR="00176BB4" w:rsidRPr="00176BB4" w14:paraId="00FC2D02" w14:textId="0E89EC76" w:rsidTr="00176BB4">
        <w:tblPrEx>
          <w:tblCellMar>
            <w:top w:w="0" w:type="dxa"/>
            <w:bottom w:w="0" w:type="dxa"/>
          </w:tblCellMar>
        </w:tblPrEx>
        <w:trPr>
          <w:trHeight w:val="1762"/>
        </w:trPr>
        <w:tc>
          <w:tcPr>
            <w:tcW w:w="6948" w:type="dxa"/>
            <w:tcBorders>
              <w:top w:val="none" w:sz="6" w:space="0" w:color="auto"/>
              <w:bottom w:val="none" w:sz="6" w:space="0" w:color="auto"/>
              <w:right w:val="none" w:sz="6" w:space="0" w:color="auto"/>
            </w:tcBorders>
          </w:tcPr>
          <w:p w14:paraId="244A11DA" w14:textId="77777777" w:rsidR="00176BB4" w:rsidRPr="00176BB4" w:rsidRDefault="00176BB4" w:rsidP="00176BB4">
            <w:pPr>
              <w:pStyle w:val="Default"/>
              <w:rPr>
                <w:rFonts w:asciiTheme="minorHAnsi" w:hAnsiTheme="minorHAnsi" w:cstheme="minorHAnsi"/>
                <w:sz w:val="22"/>
                <w:szCs w:val="22"/>
              </w:rPr>
            </w:pPr>
            <w:r w:rsidRPr="00176BB4">
              <w:rPr>
                <w:rFonts w:asciiTheme="minorHAnsi" w:hAnsiTheme="minorHAnsi" w:cstheme="minorHAnsi"/>
                <w:b/>
                <w:bCs/>
                <w:sz w:val="22"/>
                <w:szCs w:val="22"/>
              </w:rPr>
              <w:t xml:space="preserve">6. Resident Business </w:t>
            </w:r>
          </w:p>
          <w:p w14:paraId="489BAE5D" w14:textId="77777777" w:rsidR="00176BB4" w:rsidRPr="00176BB4" w:rsidRDefault="00176BB4" w:rsidP="00176BB4">
            <w:pPr>
              <w:pStyle w:val="Default"/>
              <w:rPr>
                <w:rFonts w:asciiTheme="minorHAnsi" w:hAnsiTheme="minorHAnsi" w:cstheme="minorHAnsi"/>
                <w:sz w:val="22"/>
                <w:szCs w:val="22"/>
              </w:rPr>
            </w:pPr>
          </w:p>
          <w:p w14:paraId="2C7A6D45" w14:textId="30C0B64D" w:rsidR="00176BB4" w:rsidRPr="00176BB4" w:rsidRDefault="00176BB4" w:rsidP="00176BB4">
            <w:pPr>
              <w:pStyle w:val="Default"/>
              <w:rPr>
                <w:rFonts w:asciiTheme="minorHAnsi" w:hAnsiTheme="minorHAnsi" w:cstheme="minorHAnsi"/>
                <w:sz w:val="22"/>
                <w:szCs w:val="22"/>
              </w:rPr>
            </w:pPr>
            <w:r w:rsidRPr="00176BB4">
              <w:rPr>
                <w:rFonts w:asciiTheme="minorHAnsi" w:hAnsiTheme="minorHAnsi" w:cstheme="minorHAnsi"/>
                <w:sz w:val="22"/>
                <w:szCs w:val="22"/>
              </w:rPr>
              <w:t xml:space="preserve">MFA will evaluate whether the applicant is a New Mexico Resident Business which for the purpose of this NOFA is defined as one in which the majority of the applicant’s employees who would perform services related to the project reside in New Mexico. </w:t>
            </w:r>
          </w:p>
        </w:tc>
        <w:tc>
          <w:tcPr>
            <w:tcW w:w="1080" w:type="dxa"/>
            <w:tcBorders>
              <w:top w:val="none" w:sz="6" w:space="0" w:color="auto"/>
              <w:left w:val="none" w:sz="6" w:space="0" w:color="auto"/>
              <w:bottom w:val="none" w:sz="6" w:space="0" w:color="auto"/>
            </w:tcBorders>
          </w:tcPr>
          <w:p w14:paraId="6FBEACE8" w14:textId="082DFC4B" w:rsidR="00176BB4" w:rsidRPr="00176BB4" w:rsidRDefault="00176BB4" w:rsidP="00176BB4">
            <w:pPr>
              <w:pStyle w:val="Default"/>
              <w:jc w:val="center"/>
              <w:rPr>
                <w:rFonts w:asciiTheme="minorHAnsi" w:hAnsiTheme="minorHAnsi" w:cstheme="minorHAnsi"/>
                <w:sz w:val="22"/>
                <w:szCs w:val="22"/>
              </w:rPr>
            </w:pPr>
            <w:r w:rsidRPr="00176BB4">
              <w:rPr>
                <w:rFonts w:asciiTheme="minorHAnsi" w:hAnsiTheme="minorHAnsi" w:cstheme="minorHAnsi"/>
                <w:sz w:val="22"/>
                <w:szCs w:val="22"/>
              </w:rPr>
              <w:t>5</w:t>
            </w:r>
          </w:p>
        </w:tc>
        <w:tc>
          <w:tcPr>
            <w:tcW w:w="1080" w:type="dxa"/>
            <w:tcBorders>
              <w:top w:val="none" w:sz="6" w:space="0" w:color="auto"/>
              <w:left w:val="none" w:sz="6" w:space="0" w:color="auto"/>
              <w:bottom w:val="none" w:sz="6" w:space="0" w:color="auto"/>
            </w:tcBorders>
          </w:tcPr>
          <w:p w14:paraId="6B015649" w14:textId="77777777" w:rsidR="00176BB4" w:rsidRPr="00176BB4" w:rsidRDefault="00176BB4" w:rsidP="00176BB4">
            <w:pPr>
              <w:pStyle w:val="Default"/>
              <w:jc w:val="center"/>
              <w:rPr>
                <w:rFonts w:asciiTheme="minorHAnsi" w:hAnsiTheme="minorHAnsi" w:cstheme="minorHAnsi"/>
                <w:sz w:val="22"/>
                <w:szCs w:val="22"/>
              </w:rPr>
            </w:pPr>
          </w:p>
        </w:tc>
        <w:tc>
          <w:tcPr>
            <w:tcW w:w="1080" w:type="dxa"/>
            <w:tcBorders>
              <w:top w:val="none" w:sz="6" w:space="0" w:color="auto"/>
              <w:left w:val="none" w:sz="6" w:space="0" w:color="auto"/>
              <w:bottom w:val="none" w:sz="6" w:space="0" w:color="auto"/>
            </w:tcBorders>
          </w:tcPr>
          <w:p w14:paraId="5C41193F" w14:textId="77777777" w:rsidR="00176BB4" w:rsidRPr="00176BB4" w:rsidRDefault="00176BB4" w:rsidP="00176BB4">
            <w:pPr>
              <w:pStyle w:val="Default"/>
              <w:jc w:val="center"/>
              <w:rPr>
                <w:rFonts w:asciiTheme="minorHAnsi" w:hAnsiTheme="minorHAnsi" w:cstheme="minorHAnsi"/>
                <w:sz w:val="22"/>
                <w:szCs w:val="22"/>
              </w:rPr>
            </w:pPr>
          </w:p>
        </w:tc>
      </w:tr>
    </w:tbl>
    <w:p w14:paraId="7F3C05F0" w14:textId="77777777" w:rsidR="00176BB4" w:rsidRPr="00176BB4" w:rsidRDefault="00176BB4">
      <w:pPr>
        <w:rPr>
          <w:rFonts w:cstheme="minorHAnsi"/>
        </w:rPr>
      </w:pPr>
    </w:p>
    <w:p w14:paraId="62515D00" w14:textId="6669C634" w:rsidR="00176BB4" w:rsidRPr="00176BB4" w:rsidRDefault="00176BB4">
      <w:pPr>
        <w:rPr>
          <w:rFonts w:cstheme="minorHAnsi"/>
        </w:rPr>
      </w:pPr>
      <w:r w:rsidRPr="00176BB4">
        <w:rPr>
          <w:rFonts w:cstheme="minorHAnsi"/>
          <w:b/>
          <w:bCs/>
        </w:rPr>
        <w:t>MFA reserves the right to award funding to applicants with contingencies, including requirements to impose specific measures to ensure long term affordability.</w:t>
      </w:r>
    </w:p>
    <w:sectPr w:rsidR="00176BB4" w:rsidRPr="00176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379"/>
    <w:multiLevelType w:val="hybridMultilevel"/>
    <w:tmpl w:val="11DED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74BD7"/>
    <w:multiLevelType w:val="hybridMultilevel"/>
    <w:tmpl w:val="7B32C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628EB"/>
    <w:multiLevelType w:val="hybridMultilevel"/>
    <w:tmpl w:val="F98ACB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161516"/>
    <w:multiLevelType w:val="hybridMultilevel"/>
    <w:tmpl w:val="9AD6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F2C6B"/>
    <w:multiLevelType w:val="hybridMultilevel"/>
    <w:tmpl w:val="7326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61791"/>
    <w:multiLevelType w:val="hybridMultilevel"/>
    <w:tmpl w:val="8DE88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64460"/>
    <w:multiLevelType w:val="hybridMultilevel"/>
    <w:tmpl w:val="23CE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34055"/>
    <w:multiLevelType w:val="hybridMultilevel"/>
    <w:tmpl w:val="972E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324F3"/>
    <w:multiLevelType w:val="hybridMultilevel"/>
    <w:tmpl w:val="8D6E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482600">
    <w:abstractNumId w:val="8"/>
  </w:num>
  <w:num w:numId="2" w16cid:durableId="245768829">
    <w:abstractNumId w:val="3"/>
  </w:num>
  <w:num w:numId="3" w16cid:durableId="844591454">
    <w:abstractNumId w:val="7"/>
  </w:num>
  <w:num w:numId="4" w16cid:durableId="1223365827">
    <w:abstractNumId w:val="6"/>
  </w:num>
  <w:num w:numId="5" w16cid:durableId="772479903">
    <w:abstractNumId w:val="4"/>
  </w:num>
  <w:num w:numId="6" w16cid:durableId="604581556">
    <w:abstractNumId w:val="0"/>
  </w:num>
  <w:num w:numId="7" w16cid:durableId="549849792">
    <w:abstractNumId w:val="1"/>
  </w:num>
  <w:num w:numId="8" w16cid:durableId="281035102">
    <w:abstractNumId w:val="5"/>
  </w:num>
  <w:num w:numId="9" w16cid:durableId="1517697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B4"/>
    <w:rsid w:val="0017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CC0B"/>
  <w15:chartTrackingRefBased/>
  <w15:docId w15:val="{19D33282-F4E9-43C5-AAE1-F2B20A1C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BB4"/>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Sharlynn Rosales</dc:creator>
  <cp:keywords/>
  <dc:description/>
  <cp:lastModifiedBy>Sharlynn Rosales</cp:lastModifiedBy>
  <cp:revision>1</cp:revision>
  <dcterms:created xsi:type="dcterms:W3CDTF">2023-11-01T18:40:00Z</dcterms:created>
  <dcterms:modified xsi:type="dcterms:W3CDTF">2023-11-01T18:53:00Z</dcterms:modified>
</cp:coreProperties>
</file>